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spacing w:before="0" w:after="80"/>
        <w:jc w:val="center"/>
      </w:pPr>
      <w:r>
        <w:rPr>
          <w:rFonts w:ascii="Arial" w:hAnsi="Arial"/>
          <w:b/>
          <w:color w:val="1F3864"/>
          <w:sz w:val="44"/>
        </w:rPr>
        <w:t>LSSI4 MATERNITY SAFETY INDICATOR</w:t>
      </w:r>
    </w:p>
    <w:p>
      <w:pPr>
        <w:spacing w:before="0" w:after="80"/>
        <w:jc w:val="center"/>
      </w:pPr>
      <w:r>
        <w:rPr>
          <w:rFonts w:ascii="Arial" w:hAnsi="Arial"/>
          <w:b/>
          <w:color w:val="1F3864"/>
          <w:sz w:val="36"/>
        </w:rPr>
        <w:t>National Population Briefing Report</w:t>
      </w:r>
    </w:p>
    <w:p>
      <w:pPr>
        <w:spacing w:before="0" w:after="80"/>
        <w:pBdr>
          <w:bottom w:val="single" w:sz="12" w:space="1" w:color="2E75B6"/>
        </w:pBdr>
      </w:pPr>
    </w:p>
    <w:p>
      <w:pPr>
        <w:spacing w:before="0" w:after="80"/>
        <w:jc w:val="center"/>
      </w:pPr>
      <w:r>
        <w:rPr>
          <w:rFonts w:ascii="Arial" w:hAnsi="Arial"/>
          <w:b/>
          <w:color w:val="2E75B6"/>
          <w:sz w:val="28"/>
        </w:rPr>
        <w:t>All 120 NHS Trusts — 2025 Q3 Analysis</w:t>
      </w:r>
    </w:p>
    <w:p>
      <w:pPr>
        <w:spacing w:before="0" w:after="40"/>
        <w:jc w:val="center"/>
      </w:pPr>
      <w:r>
        <w:rPr>
          <w:rFonts w:ascii="Arial" w:hAnsi="Arial"/>
          <w:b w:val="0"/>
          <w:color w:val="7F7F7F"/>
          <w:sz w:val="22"/>
        </w:rPr>
        <w:t>July 2026</w:t>
      </w:r>
    </w:p>
    <w:p/>
    <w:tbl>
      <w:tblPr>
        <w:tblW w:type="auto" w:w="0"/>
        <w:tblLook w:firstColumn="1" w:firstRow="1" w:lastColumn="0" w:lastRow="0" w:noHBand="0" w:noVBand="1" w:val="04A0"/>
        <w:tblW w:w="10080" w:type="dxa"/>
        <w:jc w:val="center"/>
        <w:tblBorders>
          <w:top w:val="none"/>
          <w:left w:val="none"/>
          <w:bottom w:val="none"/>
          <w:right w:val="none"/>
          <w:insideH w:val="none"/>
          <w:insideV w:val="none"/>
        </w:tblBorders>
      </w:tblPr>
      <w:tblGrid>
        <w:gridCol w:w="3629"/>
        <w:gridCol w:w="3629"/>
        <w:gridCol w:w="3629"/>
        <w:gridCol w:w="3629"/>
      </w:tblGrid>
      <w:tr>
        <w:tc>
          <w:tcPr>
            <w:tcW w:type="dxa" w:w="3629"/>
            <w:shd w:val="clear" w:color="auto" w:fill="FFC7CE"/>
            <w:tcW w:w="2520" w:type="dxa"/>
          </w:tcPr>
          <w:p>
            <w:pPr>
              <w:spacing w:before="120" w:after="40"/>
              <w:jc w:val="center"/>
            </w:pPr>
            <w:r>
              <w:rPr>
                <w:rFonts w:ascii="Arial" w:hAnsi="Arial"/>
                <w:b/>
                <w:color w:val="C00000"/>
                <w:sz w:val="44"/>
              </w:rPr>
              <w:t>18</w:t>
            </w:r>
          </w:p>
          <w:p>
            <w:pPr>
              <w:spacing w:before="0" w:after="120"/>
              <w:jc w:val="center"/>
            </w:pPr>
            <w:r>
              <w:rPr>
                <w:rFonts w:ascii="Arial" w:hAnsi="Arial"/>
                <w:b w:val="0"/>
                <w:color w:val="C00000"/>
                <w:sz w:val="16"/>
              </w:rPr>
              <w:t>Higher Risk</w:t>
            </w:r>
          </w:p>
        </w:tc>
        <w:tc>
          <w:tcPr>
            <w:tcW w:type="dxa" w:w="3629"/>
            <w:shd w:val="clear" w:color="auto" w:fill="FCE4D6"/>
            <w:tcW w:w="2520" w:type="dxa"/>
          </w:tcPr>
          <w:p>
            <w:pPr>
              <w:spacing w:before="120" w:after="40"/>
              <w:jc w:val="center"/>
            </w:pPr>
            <w:r>
              <w:rPr>
                <w:rFonts w:ascii="Arial" w:hAnsi="Arial"/>
                <w:b/>
                <w:color w:val="E26B0A"/>
                <w:sz w:val="44"/>
              </w:rPr>
              <w:t>18</w:t>
            </w:r>
          </w:p>
          <w:p>
            <w:pPr>
              <w:spacing w:before="0" w:after="120"/>
              <w:jc w:val="center"/>
            </w:pPr>
            <w:r>
              <w:rPr>
                <w:rFonts w:ascii="Arial" w:hAnsi="Arial"/>
                <w:b w:val="0"/>
                <w:color w:val="E26B0A"/>
                <w:sz w:val="16"/>
              </w:rPr>
              <w:t>Emerging Concern</w:t>
            </w:r>
          </w:p>
        </w:tc>
        <w:tc>
          <w:tcPr>
            <w:tcW w:type="dxa" w:w="3629"/>
            <w:shd w:val="clear" w:color="auto" w:fill="BDD7EE"/>
            <w:tcW w:w="2520" w:type="dxa"/>
          </w:tcPr>
          <w:p>
            <w:pPr>
              <w:spacing w:before="120" w:after="40"/>
              <w:jc w:val="center"/>
            </w:pPr>
            <w:r>
              <w:rPr>
                <w:rFonts w:ascii="Arial" w:hAnsi="Arial"/>
                <w:b/>
                <w:color w:val="1F4E79"/>
                <w:sz w:val="44"/>
              </w:rPr>
              <w:t>47</w:t>
            </w:r>
          </w:p>
          <w:p>
            <w:pPr>
              <w:spacing w:before="0" w:after="120"/>
              <w:jc w:val="center"/>
            </w:pPr>
            <w:r>
              <w:rPr>
                <w:rFonts w:ascii="Arial" w:hAnsi="Arial"/>
                <w:b w:val="0"/>
                <w:color w:val="1F4E79"/>
                <w:sz w:val="16"/>
              </w:rPr>
              <w:t>Typical Range</w:t>
            </w:r>
          </w:p>
        </w:tc>
        <w:tc>
          <w:tcPr>
            <w:tcW w:type="dxa" w:w="3629"/>
            <w:shd w:val="clear" w:color="auto" w:fill="E2EFDA"/>
            <w:tcW w:w="2520" w:type="dxa"/>
          </w:tcPr>
          <w:p>
            <w:pPr>
              <w:spacing w:before="120" w:after="40"/>
              <w:jc w:val="center"/>
            </w:pPr>
            <w:r>
              <w:rPr>
                <w:rFonts w:ascii="Arial" w:hAnsi="Arial"/>
                <w:b/>
                <w:color w:val="375623"/>
                <w:sz w:val="44"/>
              </w:rPr>
              <w:t>37</w:t>
            </w:r>
          </w:p>
          <w:p>
            <w:pPr>
              <w:spacing w:before="0" w:after="120"/>
              <w:jc w:val="center"/>
            </w:pPr>
            <w:r>
              <w:rPr>
                <w:rFonts w:ascii="Arial" w:hAnsi="Arial"/>
                <w:b w:val="0"/>
                <w:color w:val="375623"/>
                <w:sz w:val="16"/>
              </w:rPr>
              <w:t>Stronger Position</w:t>
            </w:r>
          </w:p>
        </w:tc>
      </w:tr>
    </w:tbl>
    <w:p/>
    <w:p>
      <w:pPr>
        <w:spacing w:before="120" w:after="80"/>
        <w:jc w:val="center"/>
      </w:pPr>
      <w:r>
        <w:rPr>
          <w:rFonts w:ascii="Arial" w:hAnsi="Arial"/>
          <w:b w:val="0"/>
          <w:color w:val="404040"/>
          <w:sz w:val="18"/>
        </w:rPr>
        <w:t>This report presents the LSSI4 composite maternity safety indicator for all 120 NHS Trusts in the national population. Each trust is scored on the average of four indicator quintiles: Emergency Caesarean (EC), Post-partum Haemorrhage (PPH), SBL2/FGR Detection, and Third/Fourth-Degree Tears (OASI). Quintile 1 = best national performance; Quintile 5 = most concern. Trend analysis covers eight quarters from 2023 Q4 to 2025 Q3.</w:t>
      </w:r>
    </w:p>
    <w:p>
      <w:pPr>
        <w:spacing w:before="80" w:after="0"/>
        <w:jc w:val="center"/>
      </w:pPr>
      <w:r>
        <w:rPr>
          <w:rFonts w:ascii="Arial" w:hAnsi="Arial"/>
          <w:b/>
          <w:color w:val="C00000"/>
          <w:sz w:val="16"/>
        </w:rPr>
        <w:t>CONFIDENTIAL — Trust identifiers are anonymised. For internal NHS quality improvement purposes only.</w:t>
      </w:r>
    </w:p>
    <w:p>
      <w:r>
        <w:br w:type="page"/>
      </w:r>
    </w:p>
    <w:p>
      <w:pPr>
        <w:pStyle w:val="Heading1"/>
        <w:jc w:val="left"/>
      </w:pPr>
      <w:r>
        <w:rPr>
          <w:rFonts w:ascii="Arial" w:hAnsi="Arial"/>
          <w:b/>
          <w:color w:val="1F3864"/>
          <w:sz w:val="32"/>
        </w:rPr>
        <w:t>1. Executive Summary</w:t>
      </w:r>
    </w:p>
    <w:p>
      <w:pPr>
        <w:spacing w:before="0" w:after="80"/>
        <w:pBdr>
          <w:bottom w:val="single" w:sz="12" w:space="1" w:color="2E75B6"/>
        </w:pBdr>
      </w:pPr>
    </w:p>
    <w:p>
      <w:pPr>
        <w:spacing w:before="80" w:after="120"/>
        <w:jc w:val="left"/>
      </w:pPr>
      <w:r>
        <w:rPr>
          <w:rFonts w:ascii="Arial" w:hAnsi="Arial"/>
          <w:b w:val="0"/>
          <w:sz w:val="20"/>
        </w:rPr>
        <w:t>This report covers all 120 NHS Trusts included in the national LSSI4 maternity safety indicator dataset. Data spans eight quarters from 2023 Q4 to 2025 Q3, with the 2025 Q3 position used as the primary analytical baseline.</w:t>
      </w:r>
    </w:p>
    <w:p>
      <w:pPr>
        <w:spacing w:before="0" w:after="80"/>
        <w:jc w:val="left"/>
      </w:pPr>
      <w:r>
        <w:rPr>
          <w:rFonts w:ascii="Arial" w:hAnsi="Arial"/>
          <w:b/>
          <w:sz w:val="20"/>
        </w:rPr>
        <w:t>National Risk Distribution (2025 Q3):</w:t>
      </w:r>
    </w:p>
    <w:p>
      <w:pPr>
        <w:spacing w:before="0" w:after="40"/>
        <w:ind w:left="360"/>
      </w:pPr>
      <w:r>
        <w:rPr>
          <w:rFonts w:ascii="Arial" w:hAnsi="Arial"/>
          <w:b/>
          <w:color w:val="C00000"/>
          <w:sz w:val="20"/>
        </w:rPr>
        <w:t xml:space="preserve">Higher Risk: </w:t>
      </w:r>
      <w:r>
        <w:rPr>
          <w:rFonts w:ascii="Arial" w:hAnsi="Arial"/>
          <w:sz w:val="20"/>
        </w:rPr>
        <w:t>18 trusts (15%) — mean LSSI4 4.24</w:t>
      </w:r>
    </w:p>
    <w:p>
      <w:pPr>
        <w:spacing w:before="0" w:after="40"/>
        <w:ind w:left="360"/>
      </w:pPr>
      <w:r>
        <w:rPr>
          <w:rFonts w:ascii="Arial" w:hAnsi="Arial"/>
          <w:b/>
          <w:color w:val="E26B0A"/>
          <w:sz w:val="20"/>
        </w:rPr>
        <w:t xml:space="preserve">Emerging Concern: </w:t>
      </w:r>
      <w:r>
        <w:rPr>
          <w:rFonts w:ascii="Arial" w:hAnsi="Arial"/>
          <w:sz w:val="20"/>
        </w:rPr>
        <w:t>18 trusts (15%) — mean LSSI4 3.65</w:t>
      </w:r>
    </w:p>
    <w:p>
      <w:pPr>
        <w:spacing w:before="0" w:after="40"/>
        <w:ind w:left="360"/>
      </w:pPr>
      <w:r>
        <w:rPr>
          <w:rFonts w:ascii="Arial" w:hAnsi="Arial"/>
          <w:b/>
          <w:color w:val="1F4E79"/>
          <w:sz w:val="20"/>
        </w:rPr>
        <w:t xml:space="preserve">Typical Range: </w:t>
      </w:r>
      <w:r>
        <w:rPr>
          <w:rFonts w:ascii="Arial" w:hAnsi="Arial"/>
          <w:sz w:val="20"/>
        </w:rPr>
        <w:t>47 trusts (39%) — mean LSSI4 3.01</w:t>
      </w:r>
    </w:p>
    <w:p>
      <w:pPr>
        <w:spacing w:before="0" w:after="40"/>
        <w:ind w:left="360"/>
      </w:pPr>
      <w:r>
        <w:rPr>
          <w:rFonts w:ascii="Arial" w:hAnsi="Arial"/>
          <w:b/>
          <w:color w:val="375623"/>
          <w:sz w:val="20"/>
        </w:rPr>
        <w:t xml:space="preserve">Stronger Position: </w:t>
      </w:r>
      <w:r>
        <w:rPr>
          <w:rFonts w:ascii="Arial" w:hAnsi="Arial"/>
          <w:sz w:val="20"/>
        </w:rPr>
        <w:t>37 trusts (31%) — mean LSSI4 2.12</w:t>
      </w:r>
    </w:p>
    <w:p/>
    <w:p>
      <w:pPr>
        <w:spacing w:before="0" w:after="120"/>
        <w:jc w:val="left"/>
      </w:pPr>
      <w:r>
        <w:rPr>
          <w:rFonts w:ascii="Arial" w:hAnsi="Arial"/>
          <w:b w:val="0"/>
          <w:sz w:val="20"/>
        </w:rPr>
        <w:t>The national mean LSSI4 score is 3.02 (IQR 2.50-3.50). Across all trusts, 10 (8%) show an improving LSSI4 trajectory over the eight-quarter period, 100 (83%) are stable, and 10 (8%) are worsening.</w:t>
      </w:r>
    </w:p>
    <w:p>
      <w:pPr>
        <w:spacing w:before="0" w:after="80"/>
        <w:jc w:val="left"/>
      </w:pPr>
      <w:r>
        <w:rPr>
          <w:rFonts w:ascii="Arial" w:hAnsi="Arial"/>
          <w:b/>
          <w:sz w:val="20"/>
        </w:rPr>
        <w:t>National Indicator Averages (2025 Q3):</w:t>
      </w:r>
    </w:p>
    <w:p>
      <w:pPr>
        <w:spacing w:before="0" w:after="40"/>
        <w:ind w:left="360"/>
      </w:pPr>
      <w:r>
        <w:rPr>
          <w:rFonts w:ascii="Arial" w:hAnsi="Arial"/>
          <w:b/>
          <w:sz w:val="18"/>
        </w:rPr>
        <w:t xml:space="preserve">EC — Emergency Caesarean: </w:t>
      </w:r>
      <w:r>
        <w:rPr>
          <w:rFonts w:ascii="Arial" w:hAnsi="Arial"/>
          <w:sz w:val="18"/>
        </w:rPr>
        <w:t>Mean 23.3%, Median 23.3%, Range 14.6–36.7% (lower = better)</w:t>
      </w:r>
    </w:p>
    <w:p>
      <w:pPr>
        <w:spacing w:before="0" w:after="40"/>
        <w:ind w:left="360"/>
      </w:pPr>
      <w:r>
        <w:rPr>
          <w:rFonts w:ascii="Arial" w:hAnsi="Arial"/>
          <w:b/>
          <w:sz w:val="18"/>
        </w:rPr>
        <w:t xml:space="preserve">PPH — Post-partum Haemorrhage: </w:t>
      </w:r>
      <w:r>
        <w:rPr>
          <w:rFonts w:ascii="Arial" w:hAnsi="Arial"/>
          <w:sz w:val="18"/>
        </w:rPr>
        <w:t>Mean 30.5%, Median 33.0%, Range 0.0–52.7% (lower = better)</w:t>
      </w:r>
    </w:p>
    <w:p>
      <w:pPr>
        <w:spacing w:before="0" w:after="40"/>
        <w:ind w:left="360"/>
      </w:pPr>
      <w:r>
        <w:rPr>
          <w:rFonts w:ascii="Arial" w:hAnsi="Arial"/>
          <w:b/>
          <w:sz w:val="18"/>
        </w:rPr>
        <w:t xml:space="preserve">SBL2 — SBL2/FGR Detection: </w:t>
      </w:r>
      <w:r>
        <w:rPr>
          <w:rFonts w:ascii="Arial" w:hAnsi="Arial"/>
          <w:sz w:val="18"/>
        </w:rPr>
        <w:t>Mean 65.1%, Median 61.1%, Range 33.3–100.0% (higher = better)</w:t>
      </w:r>
    </w:p>
    <w:p>
      <w:pPr>
        <w:spacing w:before="0" w:after="40"/>
        <w:ind w:left="360"/>
      </w:pPr>
      <w:r>
        <w:rPr>
          <w:rFonts w:ascii="Arial" w:hAnsi="Arial"/>
          <w:b/>
          <w:sz w:val="18"/>
        </w:rPr>
        <w:t xml:space="preserve">Tears — Third/Fourth-Degree Tears (OASI): </w:t>
      </w:r>
      <w:r>
        <w:rPr>
          <w:rFonts w:ascii="Arial" w:hAnsi="Arial"/>
          <w:sz w:val="18"/>
        </w:rPr>
        <w:t>Mean 22.1%, Median 24.3%, Range 0.0–54.0% (lower = better)</w:t>
      </w:r>
    </w:p>
    <w:p>
      <w:r>
        <w:br w:type="page"/>
      </w:r>
    </w:p>
    <w:p>
      <w:pPr>
        <w:pStyle w:val="Heading1"/>
        <w:jc w:val="left"/>
      </w:pPr>
      <w:r>
        <w:rPr>
          <w:rFonts w:ascii="Arial" w:hAnsi="Arial"/>
          <w:b/>
          <w:color w:val="1F3864"/>
          <w:sz w:val="32"/>
        </w:rPr>
        <w:t>2. Methodology</w:t>
      </w:r>
    </w:p>
    <w:p>
      <w:pPr>
        <w:spacing w:before="0" w:after="80"/>
        <w:pBdr>
          <w:bottom w:val="single" w:sz="12" w:space="1" w:color="2E75B6"/>
        </w:pBdr>
      </w:pPr>
    </w:p>
    <w:p>
      <w:pPr>
        <w:spacing w:before="80" w:after="40"/>
        <w:jc w:val="left"/>
      </w:pPr>
      <w:r>
        <w:rPr>
          <w:rFonts w:ascii="Arial" w:hAnsi="Arial"/>
          <w:b/>
          <w:sz w:val="22"/>
        </w:rPr>
        <w:t>LSSI4 Composite Score</w:t>
      </w:r>
    </w:p>
    <w:p>
      <w:pPr>
        <w:spacing w:before="0" w:after="120"/>
        <w:jc w:val="left"/>
      </w:pPr>
      <w:r>
        <w:rPr>
          <w:rFonts w:ascii="Arial" w:hAnsi="Arial"/>
          <w:b w:val="0"/>
          <w:sz w:val="18"/>
        </w:rPr>
        <w:t>The LSSI4 is a composite maternity safety index. For each trust in each quarter, each of the four indicators is assigned a national quintile ranking (Q1 = best 20% nationally, Q5 = worst 20% nationally). The LSSI4 score is the arithmetic mean of these four quintile scores. Scores therefore range from 1.0 (all indicators in national top quintile) to 5.0 (all indicators in national bottom quintile).</w:t>
      </w:r>
    </w:p>
    <w:p>
      <w:pPr>
        <w:spacing w:before="0" w:after="40"/>
        <w:jc w:val="left"/>
      </w:pPr>
      <w:r>
        <w:rPr>
          <w:rFonts w:ascii="Arial" w:hAnsi="Arial"/>
          <w:b/>
          <w:sz w:val="22"/>
        </w:rPr>
        <w:t>Indicator Direction</w:t>
      </w:r>
    </w:p>
    <w:p>
      <w:pPr>
        <w:spacing w:before="0" w:after="120"/>
        <w:jc w:val="left"/>
      </w:pPr>
      <w:r>
        <w:rPr>
          <w:rFonts w:ascii="Arial" w:hAnsi="Arial"/>
          <w:b w:val="0"/>
          <w:sz w:val="18"/>
        </w:rPr>
        <w:t>For Emergency Caesarean, Post-partum Haemorrhage, and Third/Fourth-Degree Tears, a lower rate represents better performance. For SBL2/FGR Detection, a higher compliance rate represents better performance. Quintile assignment and trend direction are computed accordingly.</w:t>
      </w:r>
    </w:p>
    <w:p>
      <w:pPr>
        <w:spacing w:before="0" w:after="40"/>
        <w:jc w:val="left"/>
      </w:pPr>
      <w:r>
        <w:rPr>
          <w:rFonts w:ascii="Arial" w:hAnsi="Arial"/>
          <w:b/>
          <w:sz w:val="22"/>
        </w:rPr>
        <w:t>Trend Analysis</w:t>
      </w:r>
    </w:p>
    <w:p>
      <w:pPr>
        <w:spacing w:before="0" w:after="120"/>
        <w:jc w:val="left"/>
      </w:pPr>
      <w:r>
        <w:rPr>
          <w:rFonts w:ascii="Arial" w:hAnsi="Arial"/>
          <w:b w:val="0"/>
          <w:sz w:val="18"/>
        </w:rPr>
        <w:t>Trends are computed using linear regression on the eight-quarter time series. A slope of more than 0.15 LSSI4 points per quarter in the improving direction is classified as 'Improving'; more than 0.15 in the deteriorating direction is 'Worsening'; otherwise 'Stable'. For individual indicator rate trends, a threshold of 0.3 percentage points per quarter is used. At least three data points are required to compute a trend.</w:t>
      </w:r>
    </w:p>
    <w:p>
      <w:pPr>
        <w:spacing w:before="0" w:after="40"/>
        <w:jc w:val="left"/>
      </w:pPr>
      <w:r>
        <w:rPr>
          <w:rFonts w:ascii="Arial" w:hAnsi="Arial"/>
          <w:b/>
          <w:sz w:val="22"/>
        </w:rPr>
        <w:t>Risk Tiers</w:t>
      </w:r>
    </w:p>
    <w:tbl>
      <w:tblPr>
        <w:tblW w:type="auto" w:w="0"/>
        <w:tblLook w:firstColumn="1" w:firstRow="1" w:lastColumn="0" w:lastRow="0" w:noHBand="0" w:noVBand="1" w:val="04A0"/>
        <w:tblW w:w="5040" w:type="dxa"/>
      </w:tblPr>
      <w:tblGrid>
        <w:gridCol w:w="4839"/>
        <w:gridCol w:w="4839"/>
        <w:gridCol w:w="4839"/>
      </w:tblGrid>
      <w:tr>
        <w:tc>
          <w:tcPr>
            <w:tcW w:type="dxa" w:w="4839"/>
            <w:shd w:val="clear" w:color="auto" w:fill="1F3864"/>
          </w:tcPr>
          <w:p>
            <w:r>
              <w:rPr>
                <w:rFonts w:ascii="Arial" w:hAnsi="Arial"/>
                <w:b/>
                <w:color w:val="FFFFFF"/>
                <w:sz w:val="18"/>
              </w:rPr>
              <w:t>Risk Tier</w:t>
            </w:r>
          </w:p>
        </w:tc>
        <w:tc>
          <w:tcPr>
            <w:tcW w:type="dxa" w:w="4839"/>
            <w:shd w:val="clear" w:color="auto" w:fill="1F3864"/>
          </w:tcPr>
          <w:p>
            <w:r>
              <w:rPr>
                <w:rFonts w:ascii="Arial" w:hAnsi="Arial"/>
                <w:b/>
                <w:color w:val="FFFFFF"/>
                <w:sz w:val="18"/>
              </w:rPr>
              <w:t>LSSI4 Range</w:t>
            </w:r>
          </w:p>
        </w:tc>
        <w:tc>
          <w:tcPr>
            <w:tcW w:type="dxa" w:w="4839"/>
            <w:shd w:val="clear" w:color="auto" w:fill="1F3864"/>
          </w:tcPr>
          <w:p>
            <w:r>
              <w:rPr>
                <w:rFonts w:ascii="Arial" w:hAnsi="Arial"/>
                <w:b/>
                <w:color w:val="FFFFFF"/>
                <w:sz w:val="18"/>
              </w:rPr>
              <w:t>Description</w:t>
            </w:r>
          </w:p>
        </w:tc>
      </w:tr>
      <w:tr>
        <w:tc>
          <w:tcPr>
            <w:tcW w:type="dxa" w:w="4839"/>
            <w:shd w:val="clear" w:color="auto" w:fill="E2EFDA"/>
          </w:tcPr>
          <w:p>
            <w:r>
              <w:rPr>
                <w:rFonts w:ascii="Arial" w:hAnsi="Arial"/>
                <w:b/>
                <w:color w:val="375623"/>
                <w:sz w:val="18"/>
              </w:rPr>
              <w:t>Stronger Position</w:t>
            </w:r>
          </w:p>
        </w:tc>
        <w:tc>
          <w:tcPr>
            <w:tcW w:type="dxa" w:w="4839"/>
            <w:shd w:val="clear" w:color="auto" w:fill="FFFFFF"/>
          </w:tcPr>
          <w:p>
            <w:r>
              <w:rPr>
                <w:rFonts w:ascii="Arial" w:hAnsi="Arial"/>
                <w:color w:val="000000"/>
                <w:sz w:val="18"/>
              </w:rPr>
              <w:t>0.00 – 2.50</w:t>
            </w:r>
          </w:p>
        </w:tc>
        <w:tc>
          <w:tcPr>
            <w:tcW w:type="dxa" w:w="4839"/>
            <w:shd w:val="clear" w:color="auto" w:fill="FFFFFF"/>
          </w:tcPr>
          <w:p>
            <w:r>
              <w:rPr>
                <w:rFonts w:ascii="Arial" w:hAnsi="Arial"/>
                <w:color w:val="000000"/>
                <w:sz w:val="18"/>
              </w:rPr>
              <w:t>Relative national strength</w:t>
            </w:r>
          </w:p>
        </w:tc>
      </w:tr>
      <w:tr>
        <w:tc>
          <w:tcPr>
            <w:tcW w:type="dxa" w:w="4839"/>
            <w:shd w:val="clear" w:color="auto" w:fill="BDD7EE"/>
          </w:tcPr>
          <w:p>
            <w:r>
              <w:rPr>
                <w:rFonts w:ascii="Arial" w:hAnsi="Arial"/>
                <w:b/>
                <w:color w:val="1F4E79"/>
                <w:sz w:val="18"/>
              </w:rPr>
              <w:t>Typical Range</w:t>
            </w:r>
          </w:p>
        </w:tc>
        <w:tc>
          <w:tcPr>
            <w:tcW w:type="dxa" w:w="4839"/>
            <w:shd w:val="clear" w:color="auto" w:fill="FFFFFF"/>
          </w:tcPr>
          <w:p>
            <w:r>
              <w:rPr>
                <w:rFonts w:ascii="Arial" w:hAnsi="Arial"/>
                <w:color w:val="000000"/>
                <w:sz w:val="18"/>
              </w:rPr>
              <w:t>2.51 – 3.49</w:t>
            </w:r>
          </w:p>
        </w:tc>
        <w:tc>
          <w:tcPr>
            <w:tcW w:type="dxa" w:w="4839"/>
            <w:shd w:val="clear" w:color="auto" w:fill="FFFFFF"/>
          </w:tcPr>
          <w:p>
            <w:r>
              <w:rPr>
                <w:rFonts w:ascii="Arial" w:hAnsi="Arial"/>
                <w:color w:val="000000"/>
                <w:sz w:val="18"/>
              </w:rPr>
              <w:t>Broadly within national norms</w:t>
            </w:r>
          </w:p>
        </w:tc>
      </w:tr>
      <w:tr>
        <w:tc>
          <w:tcPr>
            <w:tcW w:type="dxa" w:w="4839"/>
            <w:shd w:val="clear" w:color="auto" w:fill="FCE4D6"/>
          </w:tcPr>
          <w:p>
            <w:r>
              <w:rPr>
                <w:rFonts w:ascii="Arial" w:hAnsi="Arial"/>
                <w:b/>
                <w:color w:val="E26B0A"/>
                <w:sz w:val="18"/>
              </w:rPr>
              <w:t>Emerging Concern</w:t>
            </w:r>
          </w:p>
        </w:tc>
        <w:tc>
          <w:tcPr>
            <w:tcW w:type="dxa" w:w="4839"/>
            <w:shd w:val="clear" w:color="auto" w:fill="FFFFFF"/>
          </w:tcPr>
          <w:p>
            <w:r>
              <w:rPr>
                <w:rFonts w:ascii="Arial" w:hAnsi="Arial"/>
                <w:color w:val="000000"/>
                <w:sz w:val="18"/>
              </w:rPr>
              <w:t>3.50 – 3.99</w:t>
            </w:r>
          </w:p>
        </w:tc>
        <w:tc>
          <w:tcPr>
            <w:tcW w:type="dxa" w:w="4839"/>
            <w:shd w:val="clear" w:color="auto" w:fill="FFFFFF"/>
          </w:tcPr>
          <w:p>
            <w:r>
              <w:rPr>
                <w:rFonts w:ascii="Arial" w:hAnsi="Arial"/>
                <w:color w:val="000000"/>
                <w:sz w:val="18"/>
              </w:rPr>
              <w:t>Proactive monitoring warranted</w:t>
            </w:r>
          </w:p>
        </w:tc>
      </w:tr>
      <w:tr>
        <w:tc>
          <w:tcPr>
            <w:tcW w:type="dxa" w:w="4839"/>
            <w:shd w:val="clear" w:color="auto" w:fill="FFC7CE"/>
          </w:tcPr>
          <w:p>
            <w:r>
              <w:rPr>
                <w:rFonts w:ascii="Arial" w:hAnsi="Arial"/>
                <w:b/>
                <w:color w:val="C00000"/>
                <w:sz w:val="18"/>
              </w:rPr>
              <w:t>Higher Risk</w:t>
            </w:r>
          </w:p>
        </w:tc>
        <w:tc>
          <w:tcPr>
            <w:tcW w:type="dxa" w:w="4839"/>
            <w:shd w:val="clear" w:color="auto" w:fill="FFFFFF"/>
          </w:tcPr>
          <w:p>
            <w:r>
              <w:rPr>
                <w:rFonts w:ascii="Arial" w:hAnsi="Arial"/>
                <w:color w:val="000000"/>
                <w:sz w:val="18"/>
              </w:rPr>
              <w:t>4.00 – 6.00</w:t>
            </w:r>
          </w:p>
        </w:tc>
        <w:tc>
          <w:tcPr>
            <w:tcW w:type="dxa" w:w="4839"/>
            <w:shd w:val="clear" w:color="auto" w:fill="FFFFFF"/>
          </w:tcPr>
          <w:p>
            <w:r>
              <w:rPr>
                <w:rFonts w:ascii="Arial" w:hAnsi="Arial"/>
                <w:color w:val="000000"/>
                <w:sz w:val="18"/>
              </w:rPr>
              <w:t>Immediate review indicated</w:t>
            </w:r>
          </w:p>
        </w:tc>
      </w:tr>
    </w:tbl>
    <w:p/>
    <w:p>
      <w:pPr>
        <w:spacing w:before="120" w:after="0"/>
        <w:jc w:val="left"/>
      </w:pPr>
      <w:r>
        <w:rPr>
          <w:rFonts w:ascii="Arial" w:hAnsi="Arial"/>
          <w:b w:val="0"/>
          <w:color w:val="666666"/>
          <w:sz w:val="18"/>
        </w:rPr>
        <w:t>SBL2 data is not available for 2023 Q4 and 2024 Q1 nationally. For those quarters, the LSSI4 is computed as the average of three available indicators. One trust (R-Trust-27871) has data only to 2024 Q4; its LSSI4 score is computed from that quarter and marked with an asterisk (*) in tables.</w:t>
      </w:r>
    </w:p>
    <w:p>
      <w:r>
        <w:br w:type="page"/>
      </w:r>
    </w:p>
    <w:p>
      <w:pPr>
        <w:pStyle w:val="Heading1"/>
        <w:jc w:val="left"/>
      </w:pPr>
      <w:r>
        <w:rPr>
          <w:rFonts w:ascii="Arial" w:hAnsi="Arial"/>
          <w:b/>
          <w:color w:val="1F3864"/>
          <w:sz w:val="32"/>
        </w:rPr>
        <w:t>3. National Population Overview</w:t>
      </w:r>
    </w:p>
    <w:p>
      <w:pPr>
        <w:spacing w:before="0" w:after="80"/>
        <w:pBdr>
          <w:bottom w:val="single" w:sz="12" w:space="1" w:color="2E75B6"/>
        </w:pBdr>
      </w:pPr>
    </w:p>
    <w:p>
      <w:pPr>
        <w:spacing w:before="80" w:after="120"/>
        <w:jc w:val="left"/>
      </w:pPr>
      <w:r>
        <w:rPr>
          <w:rFonts w:ascii="Arial" w:hAnsi="Arial"/>
          <w:b w:val="0"/>
          <w:sz w:val="18"/>
        </w:rPr>
        <w:t>The table below lists all 120 trusts sorted by LSSI4 score (highest concern first). Quintile cells are colour-coded: Q1 (green) = best national quintile, Q5 (red) = most concern. Trusts with LSSI4 direction 'Improving' have shown a sustained trajectory of improvement over the eight-quarter period.</w:t>
      </w:r>
    </w:p>
    <w:tbl>
      <w:tblPr>
        <w:tblW w:type="auto" w:w="0"/>
        <w:tblLook w:firstColumn="1" w:firstRow="1" w:lastColumn="0" w:lastRow="0" w:noHBand="0" w:noVBand="1" w:val="04A0"/>
        <w:tblW w:w="5040" w:type="dxa"/>
        <w:tblBorders>
          <w:top w:val="none"/>
          <w:left w:val="none"/>
          <w:bottom w:val="none"/>
          <w:right w:val="none"/>
          <w:insideH w:val="none"/>
          <w:insideV w:val="none"/>
        </w:tblBorders>
      </w:tblPr>
      <w:tblGrid>
        <w:gridCol w:w="2903"/>
        <w:gridCol w:w="2903"/>
        <w:gridCol w:w="2903"/>
        <w:gridCol w:w="2903"/>
        <w:gridCol w:w="2903"/>
      </w:tblGrid>
      <w:tr>
        <w:tc>
          <w:tcPr>
            <w:tcW w:type="dxa" w:w="2903"/>
            <w:shd w:val="clear" w:color="auto" w:fill="00B050"/>
            <w:tcW w:w="1008" w:type="dxa"/>
          </w:tcPr>
          <w:p>
            <w:pPr>
              <w:jc w:val="center"/>
            </w:pPr>
            <w:r>
              <w:rPr>
                <w:rFonts w:ascii="Arial" w:hAnsi="Arial"/>
                <w:b/>
                <w:color w:val="FFFFFF"/>
                <w:sz w:val="16"/>
              </w:rPr>
              <w:t>Q1</w:t>
            </w:r>
          </w:p>
        </w:tc>
        <w:tc>
          <w:tcPr>
            <w:tcW w:type="dxa" w:w="2903"/>
            <w:shd w:val="clear" w:color="auto" w:fill="92D050"/>
            <w:tcW w:w="1008" w:type="dxa"/>
          </w:tcPr>
          <w:p>
            <w:pPr>
              <w:jc w:val="center"/>
            </w:pPr>
            <w:r>
              <w:rPr>
                <w:rFonts w:ascii="Arial" w:hAnsi="Arial"/>
                <w:b/>
                <w:color w:val="000000"/>
                <w:sz w:val="16"/>
              </w:rPr>
              <w:t>Q2</w:t>
            </w:r>
          </w:p>
        </w:tc>
        <w:tc>
          <w:tcPr>
            <w:tcW w:type="dxa" w:w="2903"/>
            <w:shd w:val="clear" w:color="auto" w:fill="FFFF00"/>
            <w:tcW w:w="1008" w:type="dxa"/>
          </w:tcPr>
          <w:p>
            <w:pPr>
              <w:jc w:val="center"/>
            </w:pPr>
            <w:r>
              <w:rPr>
                <w:rFonts w:ascii="Arial" w:hAnsi="Arial"/>
                <w:b/>
                <w:color w:val="000000"/>
                <w:sz w:val="16"/>
              </w:rPr>
              <w:t>Q3</w:t>
            </w:r>
          </w:p>
        </w:tc>
        <w:tc>
          <w:tcPr>
            <w:tcW w:type="dxa" w:w="2903"/>
            <w:shd w:val="clear" w:color="auto" w:fill="FF9900"/>
            <w:tcW w:w="1008" w:type="dxa"/>
          </w:tcPr>
          <w:p>
            <w:pPr>
              <w:jc w:val="center"/>
            </w:pPr>
            <w:r>
              <w:rPr>
                <w:rFonts w:ascii="Arial" w:hAnsi="Arial"/>
                <w:b/>
                <w:color w:val="000000"/>
                <w:sz w:val="16"/>
              </w:rPr>
              <w:t>Q4</w:t>
            </w:r>
          </w:p>
        </w:tc>
        <w:tc>
          <w:tcPr>
            <w:tcW w:type="dxa" w:w="2903"/>
            <w:shd w:val="clear" w:color="auto" w:fill="FF0000"/>
            <w:tcW w:w="1008" w:type="dxa"/>
          </w:tcPr>
          <w:p>
            <w:pPr>
              <w:jc w:val="center"/>
            </w:pPr>
            <w:r>
              <w:rPr>
                <w:rFonts w:ascii="Arial" w:hAnsi="Arial"/>
                <w:b/>
                <w:color w:val="FFFFFF"/>
                <w:sz w:val="16"/>
              </w:rPr>
              <w:t>Q5</w:t>
            </w:r>
          </w:p>
        </w:tc>
      </w:tr>
    </w:tbl>
    <w:p/>
    <w:tbl>
      <w:tblPr>
        <w:tblStyle w:val="TableGrid"/>
        <w:tblW w:type="auto" w:w="0"/>
        <w:tblLook w:firstColumn="1" w:firstRow="1" w:lastColumn="0" w:lastRow="0" w:noHBand="0" w:noVBand="1" w:val="04A0"/>
        <w:tblW w:w="10080" w:type="dxa"/>
      </w:tblPr>
      <w:tblGrid>
        <w:gridCol w:w="1814"/>
        <w:gridCol w:w="1814"/>
        <w:gridCol w:w="1814"/>
        <w:gridCol w:w="1814"/>
        <w:gridCol w:w="1814"/>
        <w:gridCol w:w="1814"/>
        <w:gridCol w:w="1814"/>
        <w:gridCol w:w="1814"/>
      </w:tblGrid>
      <w:tr>
        <w:tc>
          <w:tcPr>
            <w:tcW w:type="dxa" w:w="1814"/>
            <w:shd w:val="clear" w:color="auto" w:fill="1F3864"/>
            <w:tcBorders>
              <w:top w:val="single" w:sz="2" w:space="0" w:color="FFFFFF"/>
              <w:left w:val="single" w:sz="2" w:space="0" w:color="FFFFFF"/>
              <w:bottom w:val="single" w:sz="2" w:space="0" w:color="FFFFFF"/>
              <w:right w:val="single" w:sz="2" w:space="0" w:color="FFFFFF"/>
            </w:tcBorders>
            <w:tcW w:w="1900" w:type="dxa"/>
          </w:tcPr>
          <w:p>
            <w:pPr>
              <w:spacing w:before="40" w:after="40"/>
              <w:jc w:val="center"/>
            </w:pPr>
            <w:r>
              <w:rPr>
                <w:rFonts w:ascii="Arial" w:hAnsi="Arial"/>
                <w:b/>
                <w:color w:val="FFFFFF"/>
                <w:sz w:val="16"/>
              </w:rPr>
              <w:t>Trust ID</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850" w:type="dxa"/>
          </w:tcPr>
          <w:p>
            <w:pPr>
              <w:spacing w:before="40" w:after="40"/>
              <w:jc w:val="center"/>
            </w:pPr>
            <w:r>
              <w:rPr>
                <w:rFonts w:ascii="Arial" w:hAnsi="Arial"/>
                <w:b/>
                <w:color w:val="FFFFFF"/>
                <w:sz w:val="16"/>
              </w:rPr>
              <w:t>LSSI4</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2000" w:type="dxa"/>
          </w:tcPr>
          <w:p>
            <w:pPr>
              <w:spacing w:before="40" w:after="40"/>
              <w:jc w:val="center"/>
            </w:pPr>
            <w:r>
              <w:rPr>
                <w:rFonts w:ascii="Arial" w:hAnsi="Arial"/>
                <w:b/>
                <w:color w:val="FFFFFF"/>
                <w:sz w:val="16"/>
              </w:rPr>
              <w:t>Risk Tier</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EC</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PPH</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SBL2</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Tears</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1210" w:type="dxa"/>
          </w:tcPr>
          <w:p>
            <w:pPr>
              <w:spacing w:before="40" w:after="40"/>
              <w:jc w:val="center"/>
            </w:pPr>
            <w:r>
              <w:rPr>
                <w:rFonts w:ascii="Arial" w:hAnsi="Arial"/>
                <w:b/>
                <w:color w:val="FFFFFF"/>
                <w:sz w:val="16"/>
              </w:rPr>
              <w:t>LSSI4 Direction</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R-Trust-66323</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4.75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R-Trust-83805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4.75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R-Trust-24508</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4.50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R-Trust-48185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4.50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R-Trust-95041</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4.50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R-Trust-1250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4.25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R-Trust-16805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4.25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R-Trust-20712</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4.25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R-Trust-56093</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4.25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R-Trust-99977</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4.25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R-Trust-23992</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R-Trust-34984</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R-Trust-37145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R-Trust-40365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R-Trust-54923</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R-Trust-90600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R-Trust-95715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R-Trust-95920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R-Trust-16287</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R-Trust-2222</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R-Trust-36307</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R-Trust-42911</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R-Trust-49662</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R-Trust-59672</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R-Trust-59963</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R-Trust-60972</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R-Trust-897</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R-Trust-89739</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R-Trust-91179</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R-Trust-21105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R-Trust-43159</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R-Trust-47787</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R-Trust-78389</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R-Trust-82594</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R-Trust-90583</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R-Trust-95075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R-Trust-10538</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R-Trust-1286</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R-Trust-14851</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R-Trust-19995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R-Trust-20977</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R-Trust-24209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R-Trust-34550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R-Trust-3887</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R-Trust-41886</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R-Trust-61169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R-Trust-63804</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R-Trust-64338</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R-Trust-67568</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R-Trust-77294</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R-Trust-82971</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R-Trust-83445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R-Trust-84902</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R-Trust-93948</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R-Trust-98284</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R-Trust-12159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R-Trust-27871</w:t>
              <w:br/>
              <w:t>*2024 Q4</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R-Trust-40975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R-Trust-54610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R-Trust-67629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R-Trust-71969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R-Trust-73254</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R-Trust-76131</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R-Trust-77684</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R-Trust-78083</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R-Trust-88490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R-Trust-10417</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R-Trust-13489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R-Trust-16272</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R-Trust-18567</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R-Trust-19613</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R-Trust-2610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R-Trust-27281</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R-Trust-28038</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R-Trust-50170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R-Trust-56567</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R-Trust-60663</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R-Trust-64729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R-Trust-64912</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R-Trust-69216</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R-Trust-69227</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R-Trust-69992</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R-Trust-89105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R-Trust-10520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R-Trust-10609</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R-Trust-16466</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R-Trust-21473</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R-Trust-37228</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R-Trust-50087</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R-Trust-55377</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R-Trust-58128</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R-Trust-76457</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R-Trust-90198</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R-Trust-91667</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R-Trust-10685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R-Trust-16090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R-Trust-29053</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R-Trust-38145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R-Trust-41579</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R-Trust-44642</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R-Trust-69002</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R-Trust-7295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R-Trust-74210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R-Trust-7562</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R-Trust-79951</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R-Trust-15479</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2.00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R-Trust-15553</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2.00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R-Trust-23370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2.00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R-Trust-32123</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2.00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R-Trust-78039</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2.00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R-Trust-24710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1.75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R-Trust-37476</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1.75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R-Trust-47967</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1.75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R-Trust-632</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1.75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R-Trust-69701</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1.75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R-Trust-11334</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R-Trust-29383</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R-Trust-33227</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R-Trust-934</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R-Trust-97125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bl>
    <w:p>
      <w:r>
        <w:br w:type="page"/>
      </w:r>
    </w:p>
    <w:p>
      <w:pPr>
        <w:pStyle w:val="Heading1"/>
        <w:jc w:val="left"/>
      </w:pPr>
      <w:r>
        <w:rPr>
          <w:rFonts w:ascii="Arial" w:hAnsi="Arial"/>
          <w:b/>
          <w:color w:val="1F3864"/>
          <w:sz w:val="32"/>
        </w:rPr>
        <w:t>4. Risk Tier Analysis</w:t>
      </w:r>
    </w:p>
    <w:p>
      <w:pPr>
        <w:spacing w:before="0" w:after="80"/>
        <w:pBdr>
          <w:bottom w:val="single" w:sz="12" w:space="1" w:color="2E75B6"/>
        </w:pBdr>
      </w:pPr>
    </w:p>
    <w:p>
      <w:pPr>
        <w:spacing w:before="80" w:after="160"/>
        <w:jc w:val="left"/>
      </w:pPr>
      <w:r>
        <w:rPr>
          <w:rFonts w:ascii="Arial" w:hAnsi="Arial"/>
          <w:b w:val="0"/>
          <w:sz w:val="18"/>
        </w:rPr>
        <w:t>This section analyses each risk tier in turn, from highest concern to strongest position. Each tier includes summary statistics, a quintile profile table, and an indicator-level trend analysis.</w:t>
      </w:r>
    </w:p>
    <w:p>
      <w:pPr>
        <w:pStyle w:val="Heading2"/>
        <w:jc w:val="left"/>
      </w:pPr>
      <w:r>
        <w:rPr>
          <w:rFonts w:ascii="Arial" w:hAnsi="Arial"/>
          <w:b/>
          <w:color w:val="C00000"/>
          <w:sz w:val="28"/>
        </w:rPr>
        <w:t>4.1 Higher Risk</w:t>
      </w:r>
    </w:p>
    <w:p>
      <w:pPr>
        <w:spacing w:before="0" w:after="40"/>
        <w:shd w:val="clear" w:color="auto" w:fill="FFC7CE"/>
      </w:pPr>
      <w:r>
        <w:rPr>
          <w:rFonts w:ascii="Arial" w:hAnsi="Arial"/>
          <w:b/>
          <w:color w:val="C00000"/>
          <w:sz w:val="26"/>
        </w:rPr>
        <w:t xml:space="preserve">  HIGHER RISK</w:t>
      </w:r>
      <w:r>
        <w:rPr>
          <w:rFonts w:ascii="Arial" w:hAnsi="Arial"/>
          <w:b w:val="0"/>
          <w:color w:val="C00000"/>
          <w:sz w:val="22"/>
        </w:rPr>
        <w:t xml:space="preserve">   |   18 trusts  (15% of population)   |   Mean LSSI4: 4.24</w:t>
      </w:r>
    </w:p>
    <w:p>
      <w:pPr>
        <w:spacing w:before="80" w:after="120"/>
        <w:jc w:val="left"/>
      </w:pPr>
      <w:r>
        <w:rPr>
          <w:rFonts w:ascii="Arial" w:hAnsi="Arial"/>
          <w:b w:val="0"/>
          <w:sz w:val="18"/>
        </w:rPr>
        <w:t>Trusts in this tier have an LSSI4 composite score of 4.0 or above, placing them in the highest-concern segment of the national population. These trusts show multiple indicators in the upper quintiles nationally, suggesting systemic performance pressures across one or more maternity safety domains. Immediate clinical leadership review, targeted action planning, and where appropriate external support should be considered.</w:t>
      </w:r>
    </w:p>
    <w:p>
      <w:pPr>
        <w:spacing w:before="0" w:after="120"/>
        <w:jc w:val="left"/>
      </w:pPr>
      <w:r>
        <w:rPr>
          <w:rFonts w:ascii="Arial" w:hAnsi="Arial"/>
          <w:b/>
          <w:sz w:val="18"/>
        </w:rPr>
        <w:t>Direction of travel within tier: 0 improving, 17 stable, 1 worsening.</w:t>
      </w:r>
    </w:p>
    <w:p>
      <w:pPr>
        <w:spacing w:before="0" w:after="40"/>
        <w:jc w:val="left"/>
      </w:pPr>
      <w:r>
        <w:rPr>
          <w:rFonts w:ascii="Arial" w:hAnsi="Arial"/>
          <w:b/>
          <w:sz w:val="18"/>
        </w:rPr>
        <w:t>Quintile Profile and LSSI4 Direction:</w:t>
      </w:r>
    </w:p>
    <w:tbl>
      <w:tblPr>
        <w:tblStyle w:val="TableGrid"/>
        <w:tblW w:type="auto" w:w="0"/>
        <w:tblLook w:firstColumn="1" w:firstRow="1" w:lastColumn="0" w:lastRow="0" w:noHBand="0" w:noVBand="1" w:val="04A0"/>
        <w:tblW w:w="10080" w:type="dxa"/>
      </w:tblPr>
      <w:tblGrid>
        <w:gridCol w:w="1814"/>
        <w:gridCol w:w="1814"/>
        <w:gridCol w:w="1814"/>
        <w:gridCol w:w="1814"/>
        <w:gridCol w:w="1814"/>
        <w:gridCol w:w="1814"/>
        <w:gridCol w:w="1814"/>
        <w:gridCol w:w="1814"/>
      </w:tblGrid>
      <w:tr>
        <w:tc>
          <w:tcPr>
            <w:tcW w:type="dxa" w:w="1814"/>
            <w:shd w:val="clear" w:color="auto" w:fill="1F3864"/>
            <w:tcBorders>
              <w:top w:val="single" w:sz="2" w:space="0" w:color="FFFFFF"/>
              <w:left w:val="single" w:sz="2" w:space="0" w:color="FFFFFF"/>
              <w:bottom w:val="single" w:sz="2" w:space="0" w:color="FFFFFF"/>
              <w:right w:val="single" w:sz="2" w:space="0" w:color="FFFFFF"/>
            </w:tcBorders>
            <w:tcW w:w="1900" w:type="dxa"/>
          </w:tcPr>
          <w:p>
            <w:pPr>
              <w:spacing w:before="40" w:after="40"/>
              <w:jc w:val="center"/>
            </w:pPr>
            <w:r>
              <w:rPr>
                <w:rFonts w:ascii="Arial" w:hAnsi="Arial"/>
                <w:b/>
                <w:color w:val="FFFFFF"/>
                <w:sz w:val="16"/>
              </w:rPr>
              <w:t>Trust ID</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850" w:type="dxa"/>
          </w:tcPr>
          <w:p>
            <w:pPr>
              <w:spacing w:before="40" w:after="40"/>
              <w:jc w:val="center"/>
            </w:pPr>
            <w:r>
              <w:rPr>
                <w:rFonts w:ascii="Arial" w:hAnsi="Arial"/>
                <w:b/>
                <w:color w:val="FFFFFF"/>
                <w:sz w:val="16"/>
              </w:rPr>
              <w:t>LSSI4</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2000" w:type="dxa"/>
          </w:tcPr>
          <w:p>
            <w:pPr>
              <w:spacing w:before="40" w:after="40"/>
              <w:jc w:val="center"/>
            </w:pPr>
            <w:r>
              <w:rPr>
                <w:rFonts w:ascii="Arial" w:hAnsi="Arial"/>
                <w:b/>
                <w:color w:val="FFFFFF"/>
                <w:sz w:val="16"/>
              </w:rPr>
              <w:t>Risk Tier</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EC</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PPH</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SBL2</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Tears</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1210" w:type="dxa"/>
          </w:tcPr>
          <w:p>
            <w:pPr>
              <w:spacing w:before="40" w:after="40"/>
              <w:jc w:val="center"/>
            </w:pPr>
            <w:r>
              <w:rPr>
                <w:rFonts w:ascii="Arial" w:hAnsi="Arial"/>
                <w:b/>
                <w:color w:val="FFFFFF"/>
                <w:sz w:val="16"/>
              </w:rPr>
              <w:t>LSSI4 Direction</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R-Trust-66323</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4.75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R-Trust-83805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4.75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R-Trust-24508</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4.50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R-Trust-48185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4.50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R-Trust-95041</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4.50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R-Trust-1250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4.25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R-Trust-16805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4.25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R-Trust-20712</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4.25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R-Trust-56093</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4.25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R-Trust-99977</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4.25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R-Trust-23992</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R-Trust-34984</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R-Trust-37145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R-Trust-40365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R-Trust-54923</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R-Trust-90600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R-Trust-95715</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R-Trust-95920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4.00</w:t>
            </w:r>
          </w:p>
        </w:tc>
        <w:tc>
          <w:tcPr>
            <w:tcW w:type="dxa" w:w="1814"/>
            <w:shd w:val="clear" w:color="auto" w:fill="FFC7C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Higher Risk</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bl>
    <w:p/>
    <w:p>
      <w:pPr>
        <w:spacing w:before="80" w:after="40"/>
        <w:jc w:val="left"/>
      </w:pPr>
      <w:r>
        <w:rPr>
          <w:rFonts w:ascii="Arial" w:hAnsi="Arial"/>
          <w:b/>
          <w:sz w:val="18"/>
        </w:rPr>
        <w:t>Indicator-Level Trend Analysis:</w:t>
      </w:r>
    </w:p>
    <w:tbl>
      <w:tblPr>
        <w:tblStyle w:val="TableGrid"/>
        <w:tblW w:type="auto" w:w="0"/>
        <w:tblLook w:firstColumn="1" w:firstRow="1" w:lastColumn="0" w:lastRow="0" w:noHBand="0" w:noVBand="1" w:val="04A0"/>
        <w:tblW w:w="10080" w:type="dxa"/>
      </w:tblPr>
      <w:tblGrid>
        <w:gridCol w:w="2419"/>
        <w:gridCol w:w="2419"/>
        <w:gridCol w:w="2419"/>
        <w:gridCol w:w="2419"/>
        <w:gridCol w:w="2419"/>
        <w:gridCol w:w="2419"/>
      </w:tblGrid>
      <w:tr>
        <w:tc>
          <w:tcPr>
            <w:tcW w:type="dxa" w:w="2419"/>
            <w:shd w:val="clear" w:color="auto" w:fill="2E4057"/>
            <w:tcBorders>
              <w:top w:val="single" w:sz="2" w:space="0" w:color="FFFFFF"/>
              <w:left w:val="single" w:sz="2" w:space="0" w:color="FFFFFF"/>
              <w:bottom w:val="single" w:sz="2" w:space="0" w:color="FFFFFF"/>
              <w:right w:val="single" w:sz="2" w:space="0" w:color="FFFFFF"/>
            </w:tcBorders>
            <w:tcW w:w="2200" w:type="dxa"/>
          </w:tcPr>
          <w:p>
            <w:pPr>
              <w:spacing w:before="40" w:after="40"/>
              <w:jc w:val="center"/>
            </w:pPr>
            <w:r>
              <w:rPr>
                <w:rFonts w:ascii="Arial" w:hAnsi="Arial"/>
                <w:b/>
                <w:color w:val="FFFFFF"/>
                <w:sz w:val="16"/>
              </w:rPr>
              <w:t>Trust ID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900" w:type="dxa"/>
          </w:tcPr>
          <w:p>
            <w:pPr>
              <w:spacing w:before="40" w:after="40"/>
              <w:jc w:val="center"/>
            </w:pPr>
            <w:r>
              <w:rPr>
                <w:rFonts w:ascii="Arial" w:hAnsi="Arial"/>
                <w:b/>
                <w:color w:val="FFFFFF"/>
                <w:sz w:val="16"/>
              </w:rPr>
              <w:t>LSSI4</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EC Trend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PPH Trend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SBL2 Trend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Tears Trend</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R-Trust-66323</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R-Trust-83805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R-Trust-24508</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4.50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R-Trust-48185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R-Trust-95041</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4.50</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R-Trust-1250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R-Trust-16805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R-Trust-20712</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R-Trust-56093</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4.25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R-Trust-99977</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R-Trust-23992</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R-Trust-34984</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4.00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R-Trust-37145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R-Trust-40365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R-Trust-54923</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4.00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R-Trust-90600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4.00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R-Trust-95715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R-Trust-95920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4.00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bl>
    <w:p/>
    <w:p>
      <w:r>
        <w:br w:type="page"/>
      </w:r>
    </w:p>
    <w:p>
      <w:pPr>
        <w:pStyle w:val="Heading2"/>
        <w:jc w:val="left"/>
      </w:pPr>
      <w:r>
        <w:rPr>
          <w:rFonts w:ascii="Arial" w:hAnsi="Arial"/>
          <w:b/>
          <w:color w:val="E26B0A"/>
          <w:sz w:val="28"/>
        </w:rPr>
        <w:t>4.2 Emerging Concern</w:t>
      </w:r>
    </w:p>
    <w:p>
      <w:pPr>
        <w:spacing w:before="0" w:after="40"/>
        <w:shd w:val="clear" w:color="auto" w:fill="FCE4D6"/>
      </w:pPr>
      <w:r>
        <w:rPr>
          <w:rFonts w:ascii="Arial" w:hAnsi="Arial"/>
          <w:b/>
          <w:color w:val="E26B0A"/>
          <w:sz w:val="26"/>
        </w:rPr>
        <w:t xml:space="preserve">  EMERGING CONCERN</w:t>
      </w:r>
      <w:r>
        <w:rPr>
          <w:rFonts w:ascii="Arial" w:hAnsi="Arial"/>
          <w:b w:val="0"/>
          <w:color w:val="E26B0A"/>
          <w:sz w:val="22"/>
        </w:rPr>
        <w:t xml:space="preserve">   |   18 trusts  (15% of population)   |   Mean LSSI4: 3.65</w:t>
      </w:r>
    </w:p>
    <w:p>
      <w:pPr>
        <w:spacing w:before="80" w:after="120"/>
        <w:jc w:val="left"/>
      </w:pPr>
      <w:r>
        <w:rPr>
          <w:rFonts w:ascii="Arial" w:hAnsi="Arial"/>
          <w:b w:val="0"/>
          <w:sz w:val="18"/>
        </w:rPr>
        <w:t>Trusts in this tier (LSSI4 3.50-3.99) are approaching the higher-risk threshold and warrant proactive monitoring. While not yet at the highest risk level, their indicator profiles suggest deteriorating or persistently elevated rates in several areas. Trusts here benefit from self-directed improvement planning and peer learning opportunities with better-performing units.</w:t>
      </w:r>
    </w:p>
    <w:p>
      <w:pPr>
        <w:spacing w:before="0" w:after="120"/>
        <w:jc w:val="left"/>
      </w:pPr>
      <w:r>
        <w:rPr>
          <w:rFonts w:ascii="Arial" w:hAnsi="Arial"/>
          <w:b/>
          <w:sz w:val="18"/>
        </w:rPr>
        <w:t>Direction of travel within tier: 0 improving, 16 stable, 2 worsening.</w:t>
      </w:r>
    </w:p>
    <w:p>
      <w:pPr>
        <w:spacing w:before="0" w:after="40"/>
        <w:jc w:val="left"/>
      </w:pPr>
      <w:r>
        <w:rPr>
          <w:rFonts w:ascii="Arial" w:hAnsi="Arial"/>
          <w:b/>
          <w:sz w:val="18"/>
        </w:rPr>
        <w:t>Quintile Profile and LSSI4 Direction:</w:t>
      </w:r>
    </w:p>
    <w:tbl>
      <w:tblPr>
        <w:tblStyle w:val="TableGrid"/>
        <w:tblW w:type="auto" w:w="0"/>
        <w:tblLook w:firstColumn="1" w:firstRow="1" w:lastColumn="0" w:lastRow="0" w:noHBand="0" w:noVBand="1" w:val="04A0"/>
        <w:tblW w:w="10080" w:type="dxa"/>
      </w:tblPr>
      <w:tblGrid>
        <w:gridCol w:w="1814"/>
        <w:gridCol w:w="1814"/>
        <w:gridCol w:w="1814"/>
        <w:gridCol w:w="1814"/>
        <w:gridCol w:w="1814"/>
        <w:gridCol w:w="1814"/>
        <w:gridCol w:w="1814"/>
        <w:gridCol w:w="1814"/>
      </w:tblGrid>
      <w:tr>
        <w:tc>
          <w:tcPr>
            <w:tcW w:type="dxa" w:w="1814"/>
            <w:shd w:val="clear" w:color="auto" w:fill="1F3864"/>
            <w:tcBorders>
              <w:top w:val="single" w:sz="2" w:space="0" w:color="FFFFFF"/>
              <w:left w:val="single" w:sz="2" w:space="0" w:color="FFFFFF"/>
              <w:bottom w:val="single" w:sz="2" w:space="0" w:color="FFFFFF"/>
              <w:right w:val="single" w:sz="2" w:space="0" w:color="FFFFFF"/>
            </w:tcBorders>
            <w:tcW w:w="1900" w:type="dxa"/>
          </w:tcPr>
          <w:p>
            <w:pPr>
              <w:spacing w:before="40" w:after="40"/>
              <w:jc w:val="center"/>
            </w:pPr>
            <w:r>
              <w:rPr>
                <w:rFonts w:ascii="Arial" w:hAnsi="Arial"/>
                <w:b/>
                <w:color w:val="FFFFFF"/>
                <w:sz w:val="16"/>
              </w:rPr>
              <w:t>Trust ID</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850" w:type="dxa"/>
          </w:tcPr>
          <w:p>
            <w:pPr>
              <w:spacing w:before="40" w:after="40"/>
              <w:jc w:val="center"/>
            </w:pPr>
            <w:r>
              <w:rPr>
                <w:rFonts w:ascii="Arial" w:hAnsi="Arial"/>
                <w:b/>
                <w:color w:val="FFFFFF"/>
                <w:sz w:val="16"/>
              </w:rPr>
              <w:t>LSSI4</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2000" w:type="dxa"/>
          </w:tcPr>
          <w:p>
            <w:pPr>
              <w:spacing w:before="40" w:after="40"/>
              <w:jc w:val="center"/>
            </w:pPr>
            <w:r>
              <w:rPr>
                <w:rFonts w:ascii="Arial" w:hAnsi="Arial"/>
                <w:b/>
                <w:color w:val="FFFFFF"/>
                <w:sz w:val="16"/>
              </w:rPr>
              <w:t>Risk Tier</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EC</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PPH</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SBL2</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Tears</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1210" w:type="dxa"/>
          </w:tcPr>
          <w:p>
            <w:pPr>
              <w:spacing w:before="40" w:after="40"/>
              <w:jc w:val="center"/>
            </w:pPr>
            <w:r>
              <w:rPr>
                <w:rFonts w:ascii="Arial" w:hAnsi="Arial"/>
                <w:b/>
                <w:color w:val="FFFFFF"/>
                <w:sz w:val="16"/>
              </w:rPr>
              <w:t>LSSI4 Direction</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R-Trust-16287</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R-Trust-2222</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R-Trust-36307</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R-Trust-42911</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R-Trust-49662</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R-Trust-59672</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R-Trust-59963</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R-Trust-60972</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R-Trust-897</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R-Trust-89739</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R-Trust-91179</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R-Trust-21105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R-Trust-43159</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R-Trust-47787</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R-Trust-78389</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R-Trust-82594</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R-Trust-90583</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R-Trust-95075</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3.50</w:t>
            </w:r>
          </w:p>
        </w:tc>
        <w:tc>
          <w:tcPr>
            <w:tcW w:type="dxa" w:w="1814"/>
            <w:shd w:val="clear" w:color="auto" w:fill="FCE4D6"/>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Emerging Concern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bl>
    <w:p/>
    <w:p>
      <w:pPr>
        <w:spacing w:before="80" w:after="40"/>
        <w:jc w:val="left"/>
      </w:pPr>
      <w:r>
        <w:rPr>
          <w:rFonts w:ascii="Arial" w:hAnsi="Arial"/>
          <w:b/>
          <w:sz w:val="18"/>
        </w:rPr>
        <w:t>Indicator-Level Trend Analysis:</w:t>
      </w:r>
    </w:p>
    <w:tbl>
      <w:tblPr>
        <w:tblStyle w:val="TableGrid"/>
        <w:tblW w:type="auto" w:w="0"/>
        <w:tblLook w:firstColumn="1" w:firstRow="1" w:lastColumn="0" w:lastRow="0" w:noHBand="0" w:noVBand="1" w:val="04A0"/>
        <w:tblW w:w="10080" w:type="dxa"/>
      </w:tblPr>
      <w:tblGrid>
        <w:gridCol w:w="2419"/>
        <w:gridCol w:w="2419"/>
        <w:gridCol w:w="2419"/>
        <w:gridCol w:w="2419"/>
        <w:gridCol w:w="2419"/>
        <w:gridCol w:w="2419"/>
      </w:tblGrid>
      <w:tr>
        <w:tc>
          <w:tcPr>
            <w:tcW w:type="dxa" w:w="2419"/>
            <w:shd w:val="clear" w:color="auto" w:fill="2E4057"/>
            <w:tcBorders>
              <w:top w:val="single" w:sz="2" w:space="0" w:color="FFFFFF"/>
              <w:left w:val="single" w:sz="2" w:space="0" w:color="FFFFFF"/>
              <w:bottom w:val="single" w:sz="2" w:space="0" w:color="FFFFFF"/>
              <w:right w:val="single" w:sz="2" w:space="0" w:color="FFFFFF"/>
            </w:tcBorders>
            <w:tcW w:w="2200" w:type="dxa"/>
          </w:tcPr>
          <w:p>
            <w:pPr>
              <w:spacing w:before="40" w:after="40"/>
              <w:jc w:val="center"/>
            </w:pPr>
            <w:r>
              <w:rPr>
                <w:rFonts w:ascii="Arial" w:hAnsi="Arial"/>
                <w:b/>
                <w:color w:val="FFFFFF"/>
                <w:sz w:val="16"/>
              </w:rPr>
              <w:t>Trust ID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900" w:type="dxa"/>
          </w:tcPr>
          <w:p>
            <w:pPr>
              <w:spacing w:before="40" w:after="40"/>
              <w:jc w:val="center"/>
            </w:pPr>
            <w:r>
              <w:rPr>
                <w:rFonts w:ascii="Arial" w:hAnsi="Arial"/>
                <w:b/>
                <w:color w:val="FFFFFF"/>
                <w:sz w:val="16"/>
              </w:rPr>
              <w:t>LSSI4</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EC Trend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PPH Trend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SBL2 Trend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Tears Trend</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R-Trust-16287</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R-Trust-2222</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R-Trust-36307</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3.75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R-Trust-42911</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R-Trust-49662</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R-Trust-59672</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R-Trust-59963</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R-Trust-60972</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3.75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R-Trust-897</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R-Trust-89739</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R-Trust-91179</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R-Trust-21105</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3.50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R-Trust-43159</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R-Trust-47787</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R-Trust-78389</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R-Trust-82594</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3.50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R-Trust-90583</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R-Trust-95075</w:t>
            </w:r>
          </w:p>
        </w:tc>
        <w:tc>
          <w:tcPr>
            <w:tcW w:type="dxa" w:w="2419"/>
            <w:shd w:val="clear" w:color="auto" w:fill="FCE4D6"/>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bl>
    <w:p/>
    <w:p>
      <w:r>
        <w:br w:type="page"/>
      </w:r>
    </w:p>
    <w:p>
      <w:pPr>
        <w:pStyle w:val="Heading2"/>
        <w:jc w:val="left"/>
      </w:pPr>
      <w:r>
        <w:rPr>
          <w:rFonts w:ascii="Arial" w:hAnsi="Arial"/>
          <w:b/>
          <w:color w:val="1F4E79"/>
          <w:sz w:val="28"/>
        </w:rPr>
        <w:t>4.3 Typical Range</w:t>
      </w:r>
    </w:p>
    <w:p>
      <w:pPr>
        <w:spacing w:before="0" w:after="40"/>
        <w:shd w:val="clear" w:color="auto" w:fill="BDD7EE"/>
      </w:pPr>
      <w:r>
        <w:rPr>
          <w:rFonts w:ascii="Arial" w:hAnsi="Arial"/>
          <w:b/>
          <w:color w:val="1F4E79"/>
          <w:sz w:val="26"/>
        </w:rPr>
        <w:t xml:space="preserve">  TYPICAL RANGE</w:t>
      </w:r>
      <w:r>
        <w:rPr>
          <w:rFonts w:ascii="Arial" w:hAnsi="Arial"/>
          <w:b w:val="0"/>
          <w:color w:val="1F4E79"/>
          <w:sz w:val="22"/>
        </w:rPr>
        <w:t xml:space="preserve">   |   47 trusts  (39% of population)   |   Mean LSSI4: 3.01</w:t>
      </w:r>
    </w:p>
    <w:p>
      <w:pPr>
        <w:spacing w:before="80" w:after="120"/>
        <w:jc w:val="left"/>
      </w:pPr>
      <w:r>
        <w:rPr>
          <w:rFonts w:ascii="Arial" w:hAnsi="Arial"/>
          <w:b w:val="0"/>
          <w:sz w:val="18"/>
        </w:rPr>
        <w:t>Trusts in this tier (LSSI4 2.51-3.49) are performing broadly in line with national norms. This does not preclude specific indicator concerns - individual quintile scores should still be reviewed for any Q4 or Q5 outliers. Trusts showing a worsening trajectory within this band should note the risk of crossing into the Emerging Concern tier.</w:t>
      </w:r>
    </w:p>
    <w:p>
      <w:pPr>
        <w:spacing w:before="0" w:after="120"/>
        <w:jc w:val="left"/>
      </w:pPr>
      <w:r>
        <w:rPr>
          <w:rFonts w:ascii="Arial" w:hAnsi="Arial"/>
          <w:b/>
          <w:sz w:val="18"/>
        </w:rPr>
        <w:t>Direction of travel within tier: 3 improving, 38 stable, 6 worsening.</w:t>
      </w:r>
    </w:p>
    <w:p>
      <w:pPr>
        <w:spacing w:before="0" w:after="40"/>
        <w:jc w:val="left"/>
      </w:pPr>
      <w:r>
        <w:rPr>
          <w:rFonts w:ascii="Arial" w:hAnsi="Arial"/>
          <w:b/>
          <w:sz w:val="18"/>
        </w:rPr>
        <w:t>Quintile Profile and LSSI4 Direction:</w:t>
      </w:r>
    </w:p>
    <w:tbl>
      <w:tblPr>
        <w:tblStyle w:val="TableGrid"/>
        <w:tblW w:type="auto" w:w="0"/>
        <w:tblLook w:firstColumn="1" w:firstRow="1" w:lastColumn="0" w:lastRow="0" w:noHBand="0" w:noVBand="1" w:val="04A0"/>
        <w:tblW w:w="10080" w:type="dxa"/>
      </w:tblPr>
      <w:tblGrid>
        <w:gridCol w:w="1814"/>
        <w:gridCol w:w="1814"/>
        <w:gridCol w:w="1814"/>
        <w:gridCol w:w="1814"/>
        <w:gridCol w:w="1814"/>
        <w:gridCol w:w="1814"/>
        <w:gridCol w:w="1814"/>
        <w:gridCol w:w="1814"/>
      </w:tblGrid>
      <w:tr>
        <w:tc>
          <w:tcPr>
            <w:tcW w:type="dxa" w:w="1814"/>
            <w:shd w:val="clear" w:color="auto" w:fill="1F3864"/>
            <w:tcBorders>
              <w:top w:val="single" w:sz="2" w:space="0" w:color="FFFFFF"/>
              <w:left w:val="single" w:sz="2" w:space="0" w:color="FFFFFF"/>
              <w:bottom w:val="single" w:sz="2" w:space="0" w:color="FFFFFF"/>
              <w:right w:val="single" w:sz="2" w:space="0" w:color="FFFFFF"/>
            </w:tcBorders>
            <w:tcW w:w="1900" w:type="dxa"/>
          </w:tcPr>
          <w:p>
            <w:pPr>
              <w:spacing w:before="40" w:after="40"/>
              <w:jc w:val="center"/>
            </w:pPr>
            <w:r>
              <w:rPr>
                <w:rFonts w:ascii="Arial" w:hAnsi="Arial"/>
                <w:b/>
                <w:color w:val="FFFFFF"/>
                <w:sz w:val="16"/>
              </w:rPr>
              <w:t>Trust ID</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850" w:type="dxa"/>
          </w:tcPr>
          <w:p>
            <w:pPr>
              <w:spacing w:before="40" w:after="40"/>
              <w:jc w:val="center"/>
            </w:pPr>
            <w:r>
              <w:rPr>
                <w:rFonts w:ascii="Arial" w:hAnsi="Arial"/>
                <w:b/>
                <w:color w:val="FFFFFF"/>
                <w:sz w:val="16"/>
              </w:rPr>
              <w:t>LSSI4</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2000" w:type="dxa"/>
          </w:tcPr>
          <w:p>
            <w:pPr>
              <w:spacing w:before="40" w:after="40"/>
              <w:jc w:val="center"/>
            </w:pPr>
            <w:r>
              <w:rPr>
                <w:rFonts w:ascii="Arial" w:hAnsi="Arial"/>
                <w:b/>
                <w:color w:val="FFFFFF"/>
                <w:sz w:val="16"/>
              </w:rPr>
              <w:t>Risk Tier</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EC</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PPH</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SBL2</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Tears</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1210" w:type="dxa"/>
          </w:tcPr>
          <w:p>
            <w:pPr>
              <w:spacing w:before="40" w:after="40"/>
              <w:jc w:val="center"/>
            </w:pPr>
            <w:r>
              <w:rPr>
                <w:rFonts w:ascii="Arial" w:hAnsi="Arial"/>
                <w:b/>
                <w:color w:val="FFFFFF"/>
                <w:sz w:val="16"/>
              </w:rPr>
              <w:t>LSSI4 Direction</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R-Trust-10538</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R-Trust-1286</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R-Trust-14851</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R-Trust-19995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R-Trust-20977</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R-Trust-24209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R-Trust-34550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R-Trust-3887</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R-Trust-41886</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R-Trust-61169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R-Trust-63804</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R-Trust-64338</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R-Trust-67568</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R-Trust-77294</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R-Trust-82971</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R-Trust-83445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R-Trust-84902</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R-Trust-93948</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R-Trust-98284</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3.25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R-Trust-12159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R-Trust-27871</w:t>
              <w:br/>
              <w:t>*2024 Q4</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R-Trust-40975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R-Trust-54610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R-Trust-67629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R-Trust-71969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R-Trust-73254</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R-Trust-76131</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R-Trust-77684</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R-Trust-78083</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R-Trust-88490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3.00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R-Trust-10417</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R-Trust-13489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R-Trust-16272</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R-Trust-18567</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R-Trust-19613</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R-Trust-2610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R-Trust-27281</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R-Trust-28038</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R-Trust-50170</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R-Trust-56567</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R-Trust-60663</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R-Trust-64729</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R-Trust-64912</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R-Trust-69216</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R-Trust-69227</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R-Trust-69992</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R-Trust-89105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2.75</w:t>
            </w:r>
          </w:p>
        </w:tc>
        <w:tc>
          <w:tcPr>
            <w:tcW w:type="dxa" w:w="1814"/>
            <w:shd w:val="clear" w:color="auto" w:fill="BDD7EE"/>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Typical Range</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bl>
    <w:p/>
    <w:p>
      <w:pPr>
        <w:spacing w:before="80" w:after="40"/>
        <w:jc w:val="left"/>
      </w:pPr>
      <w:r>
        <w:rPr>
          <w:rFonts w:ascii="Arial" w:hAnsi="Arial"/>
          <w:b/>
          <w:sz w:val="18"/>
        </w:rPr>
        <w:t>Indicator-Level Trend Analysis:</w:t>
      </w:r>
    </w:p>
    <w:tbl>
      <w:tblPr>
        <w:tblStyle w:val="TableGrid"/>
        <w:tblW w:type="auto" w:w="0"/>
        <w:tblLook w:firstColumn="1" w:firstRow="1" w:lastColumn="0" w:lastRow="0" w:noHBand="0" w:noVBand="1" w:val="04A0"/>
        <w:tblW w:w="10080" w:type="dxa"/>
      </w:tblPr>
      <w:tblGrid>
        <w:gridCol w:w="2419"/>
        <w:gridCol w:w="2419"/>
        <w:gridCol w:w="2419"/>
        <w:gridCol w:w="2419"/>
        <w:gridCol w:w="2419"/>
        <w:gridCol w:w="2419"/>
      </w:tblGrid>
      <w:tr>
        <w:tc>
          <w:tcPr>
            <w:tcW w:type="dxa" w:w="2419"/>
            <w:shd w:val="clear" w:color="auto" w:fill="2E4057"/>
            <w:tcBorders>
              <w:top w:val="single" w:sz="2" w:space="0" w:color="FFFFFF"/>
              <w:left w:val="single" w:sz="2" w:space="0" w:color="FFFFFF"/>
              <w:bottom w:val="single" w:sz="2" w:space="0" w:color="FFFFFF"/>
              <w:right w:val="single" w:sz="2" w:space="0" w:color="FFFFFF"/>
            </w:tcBorders>
            <w:tcW w:w="2200" w:type="dxa"/>
          </w:tcPr>
          <w:p>
            <w:pPr>
              <w:spacing w:before="40" w:after="40"/>
              <w:jc w:val="center"/>
            </w:pPr>
            <w:r>
              <w:rPr>
                <w:rFonts w:ascii="Arial" w:hAnsi="Arial"/>
                <w:b/>
                <w:color w:val="FFFFFF"/>
                <w:sz w:val="16"/>
              </w:rPr>
              <w:t>Trust ID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900" w:type="dxa"/>
          </w:tcPr>
          <w:p>
            <w:pPr>
              <w:spacing w:before="40" w:after="40"/>
              <w:jc w:val="center"/>
            </w:pPr>
            <w:r>
              <w:rPr>
                <w:rFonts w:ascii="Arial" w:hAnsi="Arial"/>
                <w:b/>
                <w:color w:val="FFFFFF"/>
                <w:sz w:val="16"/>
              </w:rPr>
              <w:t>LSSI4</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EC Trend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PPH Trend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SBL2 Trend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Tears Trend</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R-Trust-10538</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R-Trust-1286</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R-Trust-14851</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R-Trust-19995</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R-Trust-20977</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R-Trust-24209</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R-Trust-34550</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R-Trust-3887</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R-Trust-41886</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R-Trust-61169</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R-Trust-63804</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R-Trust-64338</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R-Trust-67568</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R-Trust-77294</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R-Trust-82971</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R-Trust-83445</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R-Trust-84902</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R-Trust-93948</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R-Trust-98284</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R-Trust-12159</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3.00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R-Trust-27871</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R-Trust-40975</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R-Trust-54610</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R-Trust-67629</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3.00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R-Trust-71969</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3.00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R-Trust-73254</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3.00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R-Trust-76131</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3.00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R-Trust-77684</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R-Trust-78083</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3.00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R-Trust-88490</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3.00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R-Trust-10417</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R-Trust-13489</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R-Trust-16272</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R-Trust-18567</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R-Trust-19613</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R-Trust-2610</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R-Trust-27281</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R-Trust-28038</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R-Trust-50170</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R-Trust-56567</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R-Trust-60663</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R-Trust-64729</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R-Trust-64912</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R-Trust-69216</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R-Trust-69227</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R-Trust-69992</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R-Trust-89105</w:t>
            </w:r>
          </w:p>
        </w:tc>
        <w:tc>
          <w:tcPr>
            <w:tcW w:type="dxa" w:w="2419"/>
            <w:shd w:val="clear" w:color="auto" w:fill="BDD7EE"/>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bl>
    <w:p/>
    <w:p>
      <w:r>
        <w:br w:type="page"/>
      </w:r>
    </w:p>
    <w:p>
      <w:pPr>
        <w:pStyle w:val="Heading2"/>
        <w:jc w:val="left"/>
      </w:pPr>
      <w:r>
        <w:rPr>
          <w:rFonts w:ascii="Arial" w:hAnsi="Arial"/>
          <w:b/>
          <w:color w:val="375623"/>
          <w:sz w:val="28"/>
        </w:rPr>
        <w:t>4.4 Stronger Position</w:t>
      </w:r>
    </w:p>
    <w:p>
      <w:pPr>
        <w:spacing w:before="0" w:after="40"/>
        <w:shd w:val="clear" w:color="auto" w:fill="E2EFDA"/>
      </w:pPr>
      <w:r>
        <w:rPr>
          <w:rFonts w:ascii="Arial" w:hAnsi="Arial"/>
          <w:b/>
          <w:color w:val="375623"/>
          <w:sz w:val="26"/>
        </w:rPr>
        <w:t xml:space="preserve">  STRONGER POSITION</w:t>
      </w:r>
      <w:r>
        <w:rPr>
          <w:rFonts w:ascii="Arial" w:hAnsi="Arial"/>
          <w:b w:val="0"/>
          <w:color w:val="375623"/>
          <w:sz w:val="22"/>
        </w:rPr>
        <w:t xml:space="preserve">   |   37 trusts  (31% of population)   |   Mean LSSI4: 2.12</w:t>
      </w:r>
    </w:p>
    <w:p>
      <w:pPr>
        <w:spacing w:before="80" w:after="120"/>
        <w:jc w:val="left"/>
      </w:pPr>
      <w:r>
        <w:rPr>
          <w:rFonts w:ascii="Arial" w:hAnsi="Arial"/>
          <w:b w:val="0"/>
          <w:sz w:val="18"/>
        </w:rPr>
        <w:t>Trusts in this tier (LSSI4 2.50 or below) are demonstrating relative strength across maternity safety indicators nationally. They represent a potential source of peer learning and best practice. Even within this tier, individual indicators in Q4 or Q5 should be reviewed, and trusts maintaining a stable or improving trajectory should be affirmed and supported.</w:t>
      </w:r>
    </w:p>
    <w:p>
      <w:pPr>
        <w:spacing w:before="0" w:after="120"/>
        <w:jc w:val="left"/>
      </w:pPr>
      <w:r>
        <w:rPr>
          <w:rFonts w:ascii="Arial" w:hAnsi="Arial"/>
          <w:b/>
          <w:sz w:val="18"/>
        </w:rPr>
        <w:t>Direction of travel within tier: 7 improving, 29 stable, 1 worsening.</w:t>
      </w:r>
    </w:p>
    <w:p>
      <w:pPr>
        <w:spacing w:before="0" w:after="40"/>
        <w:jc w:val="left"/>
      </w:pPr>
      <w:r>
        <w:rPr>
          <w:rFonts w:ascii="Arial" w:hAnsi="Arial"/>
          <w:b/>
          <w:sz w:val="18"/>
        </w:rPr>
        <w:t>Quintile Profile and LSSI4 Direction:</w:t>
      </w:r>
    </w:p>
    <w:tbl>
      <w:tblPr>
        <w:tblStyle w:val="TableGrid"/>
        <w:tblW w:type="auto" w:w="0"/>
        <w:tblLook w:firstColumn="1" w:firstRow="1" w:lastColumn="0" w:lastRow="0" w:noHBand="0" w:noVBand="1" w:val="04A0"/>
        <w:tblW w:w="10080" w:type="dxa"/>
      </w:tblPr>
      <w:tblGrid>
        <w:gridCol w:w="1814"/>
        <w:gridCol w:w="1814"/>
        <w:gridCol w:w="1814"/>
        <w:gridCol w:w="1814"/>
        <w:gridCol w:w="1814"/>
        <w:gridCol w:w="1814"/>
        <w:gridCol w:w="1814"/>
        <w:gridCol w:w="1814"/>
      </w:tblGrid>
      <w:tr>
        <w:tc>
          <w:tcPr>
            <w:tcW w:type="dxa" w:w="1814"/>
            <w:shd w:val="clear" w:color="auto" w:fill="1F3864"/>
            <w:tcBorders>
              <w:top w:val="single" w:sz="2" w:space="0" w:color="FFFFFF"/>
              <w:left w:val="single" w:sz="2" w:space="0" w:color="FFFFFF"/>
              <w:bottom w:val="single" w:sz="2" w:space="0" w:color="FFFFFF"/>
              <w:right w:val="single" w:sz="2" w:space="0" w:color="FFFFFF"/>
            </w:tcBorders>
            <w:tcW w:w="1900" w:type="dxa"/>
          </w:tcPr>
          <w:p>
            <w:pPr>
              <w:spacing w:before="40" w:after="40"/>
              <w:jc w:val="center"/>
            </w:pPr>
            <w:r>
              <w:rPr>
                <w:rFonts w:ascii="Arial" w:hAnsi="Arial"/>
                <w:b/>
                <w:color w:val="FFFFFF"/>
                <w:sz w:val="16"/>
              </w:rPr>
              <w:t>Trust ID</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850" w:type="dxa"/>
          </w:tcPr>
          <w:p>
            <w:pPr>
              <w:spacing w:before="40" w:after="40"/>
              <w:jc w:val="center"/>
            </w:pPr>
            <w:r>
              <w:rPr>
                <w:rFonts w:ascii="Arial" w:hAnsi="Arial"/>
                <w:b/>
                <w:color w:val="FFFFFF"/>
                <w:sz w:val="16"/>
              </w:rPr>
              <w:t>LSSI4</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2000" w:type="dxa"/>
          </w:tcPr>
          <w:p>
            <w:pPr>
              <w:spacing w:before="40" w:after="40"/>
              <w:jc w:val="center"/>
            </w:pPr>
            <w:r>
              <w:rPr>
                <w:rFonts w:ascii="Arial" w:hAnsi="Arial"/>
                <w:b/>
                <w:color w:val="FFFFFF"/>
                <w:sz w:val="16"/>
              </w:rPr>
              <w:t>Risk Tier</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EC</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PPH</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SBL2</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780" w:type="dxa"/>
          </w:tcPr>
          <w:p>
            <w:pPr>
              <w:spacing w:before="40" w:after="40"/>
              <w:jc w:val="center"/>
            </w:pPr>
            <w:r>
              <w:rPr>
                <w:rFonts w:ascii="Arial" w:hAnsi="Arial"/>
                <w:b/>
                <w:color w:val="FFFFFF"/>
                <w:sz w:val="16"/>
              </w:rPr>
              <w:t>Tears</w:t>
            </w:r>
          </w:p>
        </w:tc>
        <w:tc>
          <w:tcPr>
            <w:tcW w:type="dxa" w:w="1814"/>
            <w:shd w:val="clear" w:color="auto" w:fill="1F3864"/>
            <w:tcBorders>
              <w:top w:val="single" w:sz="2" w:space="0" w:color="FFFFFF"/>
              <w:left w:val="single" w:sz="2" w:space="0" w:color="FFFFFF"/>
              <w:bottom w:val="single" w:sz="2" w:space="0" w:color="FFFFFF"/>
              <w:right w:val="single" w:sz="2" w:space="0" w:color="FFFFFF"/>
            </w:tcBorders>
            <w:tcW w:w="1210" w:type="dxa"/>
          </w:tcPr>
          <w:p>
            <w:pPr>
              <w:spacing w:before="40" w:after="40"/>
              <w:jc w:val="center"/>
            </w:pPr>
            <w:r>
              <w:rPr>
                <w:rFonts w:ascii="Arial" w:hAnsi="Arial"/>
                <w:b/>
                <w:color w:val="FFFFFF"/>
                <w:sz w:val="16"/>
              </w:rPr>
              <w:t>LSSI4 Direction</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R-Trust-10520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R-Trust-10609</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R-Trust-16466</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R-Trust-21473</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R-Trust-37228</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R-Trust-50087</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R-Trust-55377</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R-Trust-58128</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R-Trust-76457</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R-Trust-90198</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R-Trust-91667</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R-Trust-10685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R-Trust-16090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C00000"/>
                <w:sz w:val="16"/>
              </w:rPr>
              <w:t>Worsening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R-Trust-29053</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R-Trust-38145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R-Trust-41579</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R-Trust-44642</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R-Trust-69002</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R-Trust-7295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00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Q5</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R-Trust-74210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R-Trust-7562</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R-Trust-79951</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R-Trust-15479</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2.00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R-Trust-15553</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2.00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R-Trust-23370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2.00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R-Trust-32123</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2.00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R-Trust-78039</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2.00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R-Trust-24710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1.75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99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Q4</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R-Trust-37476</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1.75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R-Trust-47967</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1.75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R-Trust-632</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1.75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R-Trust-69701</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1.75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R-Trust-11334</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R-Trust-29383</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R-Trust-33227</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R-Trust-934</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FFFF0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Q3</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00B050"/>
                <w:sz w:val="16"/>
              </w:rPr>
              <w:t>Improving</w:t>
            </w:r>
          </w:p>
        </w:tc>
      </w:tr>
      <w:tr>
        <w:tc>
          <w:tcPr>
            <w:tcW w:type="dxa" w:w="1814"/>
            <w:shd w:val="clear" w:color="auto" w:fill="FFFFFF"/>
            <w:tcBorders>
              <w:top w:val="single" w:sz="4" w:space="0" w:color="CCCCCC"/>
              <w:left w:val="single" w:sz="4" w:space="0" w:color="CCCCCC"/>
              <w:bottom w:val="single" w:sz="4" w:space="0" w:color="CCCCCC"/>
              <w:right w:val="single" w:sz="4" w:space="0" w:color="CCCCCC"/>
            </w:tcBorders>
            <w:tcW w:w="1900" w:type="dxa"/>
          </w:tcPr>
          <w:p>
            <w:pPr>
              <w:spacing w:before="20" w:after="20"/>
              <w:jc w:val="left"/>
            </w:pPr>
            <w:r>
              <w:rPr>
                <w:rFonts w:ascii="Arial" w:hAnsi="Arial"/>
                <w:b w:val="0"/>
                <w:color w:val="000000"/>
                <w:sz w:val="16"/>
              </w:rPr>
              <w:t>R-Trust-97125</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850" w:type="dxa"/>
          </w:tcPr>
          <w:p>
            <w:pPr>
              <w:spacing w:before="20" w:after="20"/>
              <w:jc w:val="center"/>
            </w:pPr>
            <w:r>
              <w:rPr>
                <w:rFonts w:ascii="Arial" w:hAnsi="Arial"/>
                <w:b/>
                <w:color w:val="000000"/>
                <w:sz w:val="18"/>
              </w:rPr>
              <w:t>1.50</w:t>
            </w:r>
          </w:p>
        </w:tc>
        <w:tc>
          <w:tcPr>
            <w:tcW w:type="dxa" w:w="1814"/>
            <w:shd w:val="clear" w:color="auto" w:fill="E2EFDA"/>
            <w:tcBorders>
              <w:top w:val="single" w:sz="4" w:space="0" w:color="CCCCCC"/>
              <w:left w:val="single" w:sz="4" w:space="0" w:color="CCCCCC"/>
              <w:bottom w:val="single" w:sz="4" w:space="0" w:color="CCCCCC"/>
              <w:right w:val="single" w:sz="4" w:space="0" w:color="CCCCCC"/>
            </w:tcBorders>
            <w:tcW w:w="2000" w:type="dxa"/>
          </w:tcPr>
          <w:p>
            <w:pPr>
              <w:spacing w:before="20" w:after="20"/>
              <w:jc w:val="center"/>
            </w:pPr>
            <w:r>
              <w:rPr>
                <w:rFonts w:ascii="Arial" w:hAnsi="Arial"/>
                <w:b w:val="0"/>
                <w:color w:val="000000"/>
                <w:sz w:val="16"/>
              </w:rPr>
              <w:t>Stronger Position</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92D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000000"/>
                <w:sz w:val="18"/>
              </w:rPr>
              <w:t>Q2</w:t>
            </w:r>
          </w:p>
        </w:tc>
        <w:tc>
          <w:tcPr>
            <w:tcW w:type="dxa" w:w="1814"/>
            <w:shd w:val="clear" w:color="auto" w:fill="00B050"/>
            <w:tcBorders>
              <w:top w:val="single" w:sz="4" w:space="0" w:color="CCCCCC"/>
              <w:left w:val="single" w:sz="4" w:space="0" w:color="CCCCCC"/>
              <w:bottom w:val="single" w:sz="4" w:space="0" w:color="CCCCCC"/>
              <w:right w:val="single" w:sz="4" w:space="0" w:color="CCCCCC"/>
            </w:tcBorders>
            <w:tcW w:w="780" w:type="dxa"/>
          </w:tcPr>
          <w:p>
            <w:pPr>
              <w:spacing w:before="20" w:after="20"/>
              <w:jc w:val="center"/>
            </w:pPr>
            <w:r>
              <w:rPr>
                <w:rFonts w:ascii="Arial" w:hAnsi="Arial"/>
                <w:b/>
                <w:color w:val="FFFFFF"/>
                <w:sz w:val="18"/>
              </w:rPr>
              <w:t>Q1</w:t>
            </w:r>
          </w:p>
        </w:tc>
        <w:tc>
          <w:tcPr>
            <w:tcW w:type="dxa" w:w="1814"/>
            <w:shd w:val="clear" w:color="auto" w:fill="FFFFFF"/>
            <w:tcBorders>
              <w:top w:val="single" w:sz="4" w:space="0" w:color="CCCCCC"/>
              <w:left w:val="single" w:sz="4" w:space="0" w:color="CCCCCC"/>
              <w:bottom w:val="single" w:sz="4" w:space="0" w:color="CCCCCC"/>
              <w:right w:val="single" w:sz="4" w:space="0" w:color="CCCCCC"/>
            </w:tcBorders>
            <w:tcW w:w="1210" w:type="dxa"/>
          </w:tcPr>
          <w:p>
            <w:pPr>
              <w:spacing w:before="20" w:after="20"/>
              <w:jc w:val="center"/>
            </w:pPr>
            <w:r>
              <w:rPr>
                <w:rFonts w:ascii="Arial" w:hAnsi="Arial"/>
                <w:b w:val="0"/>
                <w:color w:val="7F7F7F"/>
                <w:sz w:val="16"/>
              </w:rPr>
              <w:t>Stable</w:t>
            </w:r>
          </w:p>
        </w:tc>
      </w:tr>
    </w:tbl>
    <w:p/>
    <w:p>
      <w:pPr>
        <w:spacing w:before="80" w:after="40"/>
        <w:jc w:val="left"/>
      </w:pPr>
      <w:r>
        <w:rPr>
          <w:rFonts w:ascii="Arial" w:hAnsi="Arial"/>
          <w:b/>
          <w:sz w:val="18"/>
        </w:rPr>
        <w:t>Indicator-Level Trend Analysis:</w:t>
      </w:r>
    </w:p>
    <w:tbl>
      <w:tblPr>
        <w:tblStyle w:val="TableGrid"/>
        <w:tblW w:type="auto" w:w="0"/>
        <w:tblLook w:firstColumn="1" w:firstRow="1" w:lastColumn="0" w:lastRow="0" w:noHBand="0" w:noVBand="1" w:val="04A0"/>
        <w:tblW w:w="10080" w:type="dxa"/>
      </w:tblPr>
      <w:tblGrid>
        <w:gridCol w:w="2419"/>
        <w:gridCol w:w="2419"/>
        <w:gridCol w:w="2419"/>
        <w:gridCol w:w="2419"/>
        <w:gridCol w:w="2419"/>
        <w:gridCol w:w="2419"/>
      </w:tblGrid>
      <w:tr>
        <w:tc>
          <w:tcPr>
            <w:tcW w:type="dxa" w:w="2419"/>
            <w:shd w:val="clear" w:color="auto" w:fill="2E4057"/>
            <w:tcBorders>
              <w:top w:val="single" w:sz="2" w:space="0" w:color="FFFFFF"/>
              <w:left w:val="single" w:sz="2" w:space="0" w:color="FFFFFF"/>
              <w:bottom w:val="single" w:sz="2" w:space="0" w:color="FFFFFF"/>
              <w:right w:val="single" w:sz="2" w:space="0" w:color="FFFFFF"/>
            </w:tcBorders>
            <w:tcW w:w="2200" w:type="dxa"/>
          </w:tcPr>
          <w:p>
            <w:pPr>
              <w:spacing w:before="40" w:after="40"/>
              <w:jc w:val="center"/>
            </w:pPr>
            <w:r>
              <w:rPr>
                <w:rFonts w:ascii="Arial" w:hAnsi="Arial"/>
                <w:b/>
                <w:color w:val="FFFFFF"/>
                <w:sz w:val="16"/>
              </w:rPr>
              <w:t>Trust ID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900" w:type="dxa"/>
          </w:tcPr>
          <w:p>
            <w:pPr>
              <w:spacing w:before="40" w:after="40"/>
              <w:jc w:val="center"/>
            </w:pPr>
            <w:r>
              <w:rPr>
                <w:rFonts w:ascii="Arial" w:hAnsi="Arial"/>
                <w:b/>
                <w:color w:val="FFFFFF"/>
                <w:sz w:val="16"/>
              </w:rPr>
              <w:t>LSSI4</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EC Trend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PPH Trend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SBL2 Trend</w:t>
            </w:r>
          </w:p>
        </w:tc>
        <w:tc>
          <w:tcPr>
            <w:tcW w:type="dxa" w:w="2419"/>
            <w:shd w:val="clear" w:color="auto" w:fill="2E4057"/>
            <w:tcBorders>
              <w:top w:val="single" w:sz="2" w:space="0" w:color="FFFFFF"/>
              <w:left w:val="single" w:sz="2" w:space="0" w:color="FFFFFF"/>
              <w:bottom w:val="single" w:sz="2" w:space="0" w:color="FFFFFF"/>
              <w:right w:val="single" w:sz="2" w:space="0" w:color="FFFFFF"/>
            </w:tcBorders>
            <w:tcW w:w="1745" w:type="dxa"/>
          </w:tcPr>
          <w:p>
            <w:pPr>
              <w:spacing w:before="40" w:after="40"/>
              <w:jc w:val="center"/>
            </w:pPr>
            <w:r>
              <w:rPr>
                <w:rFonts w:ascii="Arial" w:hAnsi="Arial"/>
                <w:b/>
                <w:color w:val="FFFFFF"/>
                <w:sz w:val="16"/>
              </w:rPr>
              <w:t>Tears Trend</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R-Trust-10520</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R-Trust-10609</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2.50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R-Trust-16466</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2.50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R-Trust-21473</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R-Trust-37228</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R-Trust-50087</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2.50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R-Trust-55377</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2.50</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R-Trust-58128</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2.50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R-Trust-76457</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R-Trust-90198</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R-Trust-91667</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2.50</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R-Trust-10685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R-Trust-16090</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R-Trust-29053</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R-Trust-38145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R-Trust-41579</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R-Trust-44642</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R-Trust-69002</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R-Trust-7295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2.25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R-Trust-74210</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R-Trust-7562</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2.25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R-Trust-79951</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2.25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R-Trust-15479</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R-Trust-15553</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R-Trust-23370</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2.00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R-Trust-32123</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2.00</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R-Trust-78039</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2.00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R-Trust-24710</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1.75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R-Trust-37476</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1.75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R-Trust-47967</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1.75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R-Trust-632</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1.75</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R-Trust-69701</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1.75</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R-Trust-11334</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1.50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R-Trust-29383</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1.50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R-Trust-33227</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1.50</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R-Trust-934</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1.50</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r>
        <w:tc>
          <w:tcPr>
            <w:tcW w:type="dxa" w:w="2419"/>
            <w:shd w:val="clear" w:color="auto" w:fill="FFFFFF"/>
            <w:tcBorders>
              <w:top w:val="single" w:sz="4" w:space="0" w:color="CCCCCC"/>
              <w:left w:val="single" w:sz="4" w:space="0" w:color="CCCCCC"/>
              <w:bottom w:val="single" w:sz="4" w:space="0" w:color="CCCCCC"/>
              <w:right w:val="single" w:sz="4" w:space="0" w:color="CCCCCC"/>
            </w:tcBorders>
            <w:tcW w:w="2200" w:type="dxa"/>
          </w:tcPr>
          <w:p>
            <w:pPr>
              <w:spacing w:before="20" w:after="20"/>
              <w:jc w:val="left"/>
            </w:pPr>
            <w:r>
              <w:rPr>
                <w:rFonts w:ascii="Arial" w:hAnsi="Arial"/>
                <w:b w:val="0"/>
                <w:sz w:val="16"/>
              </w:rPr>
              <w:t>R-Trust-97125</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900" w:type="dxa"/>
          </w:tcPr>
          <w:p>
            <w:pPr>
              <w:spacing w:before="20" w:after="20"/>
              <w:jc w:val="center"/>
            </w:pPr>
            <w:r>
              <w:rPr>
                <w:rFonts w:ascii="Arial" w:hAnsi="Arial"/>
                <w:b/>
                <w:sz w:val="18"/>
              </w:rPr>
              <w:t>1.50</w:t>
            </w:r>
          </w:p>
        </w:tc>
        <w:tc>
          <w:tcPr>
            <w:tcW w:type="dxa" w:w="2419"/>
            <w:shd w:val="clear" w:color="auto" w:fill="FFFFFF"/>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7F7F7F"/>
                <w:sz w:val="16"/>
              </w:rPr>
              <w:t>Stable</w:t>
            </w:r>
          </w:p>
        </w:tc>
        <w:tc>
          <w:tcPr>
            <w:tcW w:type="dxa" w:w="2419"/>
            <w:shd w:val="clear" w:color="auto" w:fill="FFC7CE"/>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C00000"/>
                <w:sz w:val="16"/>
              </w:rPr>
              <w:t>Worsening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c>
          <w:tcPr>
            <w:tcW w:type="dxa" w:w="2419"/>
            <w:shd w:val="clear" w:color="auto" w:fill="E2EFDA"/>
            <w:tcBorders>
              <w:top w:val="single" w:sz="4" w:space="0" w:color="CCCCCC"/>
              <w:left w:val="single" w:sz="4" w:space="0" w:color="CCCCCC"/>
              <w:bottom w:val="single" w:sz="4" w:space="0" w:color="CCCCCC"/>
              <w:right w:val="single" w:sz="4" w:space="0" w:color="CCCCCC"/>
            </w:tcBorders>
            <w:tcW w:w="1745" w:type="dxa"/>
          </w:tcPr>
          <w:p>
            <w:pPr>
              <w:spacing w:before="20" w:after="20"/>
              <w:jc w:val="center"/>
            </w:pPr>
            <w:r>
              <w:rPr>
                <w:rFonts w:ascii="Arial" w:hAnsi="Arial"/>
                <w:color w:val="00B050"/>
                <w:sz w:val="16"/>
              </w:rPr>
              <w:t>Improving</w:t>
            </w:r>
          </w:p>
        </w:tc>
      </w:tr>
    </w:tbl>
    <w:p/>
    <w:p>
      <w:r>
        <w:br w:type="page"/>
      </w:r>
    </w:p>
    <w:p>
      <w:pPr>
        <w:pStyle w:val="Heading1"/>
        <w:jc w:val="left"/>
      </w:pPr>
      <w:r>
        <w:rPr>
          <w:rFonts w:ascii="Arial" w:hAnsi="Arial"/>
          <w:b/>
          <w:color w:val="1F3864"/>
          <w:sz w:val="32"/>
        </w:rPr>
        <w:t>5. Indicator-Level National Analysis</w:t>
      </w:r>
    </w:p>
    <w:p>
      <w:pPr>
        <w:spacing w:before="0" w:after="80"/>
        <w:pBdr>
          <w:bottom w:val="single" w:sz="12" w:space="1" w:color="2E75B6"/>
        </w:pBdr>
      </w:pPr>
    </w:p>
    <w:p>
      <w:pPr>
        <w:spacing w:before="80" w:after="160"/>
        <w:jc w:val="left"/>
      </w:pPr>
      <w:r>
        <w:rPr>
          <w:rFonts w:ascii="Arial" w:hAnsi="Arial"/>
          <w:b w:val="0"/>
          <w:sz w:val="18"/>
        </w:rPr>
        <w:t>This section provides a national-level summary for each of the four LSSI4 indicators, including distribution statistics, overall trend direction across the population, and identification of the best and most concerning performers.</w:t>
      </w:r>
    </w:p>
    <w:p>
      <w:pPr>
        <w:pStyle w:val="Heading3"/>
        <w:jc w:val="left"/>
      </w:pPr>
      <w:r>
        <w:rPr>
          <w:rFonts w:ascii="Arial" w:hAnsi="Arial"/>
          <w:b/>
          <w:color w:val="2E4057"/>
          <w:sz w:val="24"/>
        </w:rPr>
        <w:t>Emergency Caesarean (EC)</w:t>
      </w:r>
    </w:p>
    <w:p>
      <w:pPr>
        <w:spacing w:before="0" w:after="80"/>
        <w:jc w:val="left"/>
      </w:pPr>
      <w:r>
        <w:rPr>
          <w:rFonts w:ascii="Arial" w:hAnsi="Arial"/>
          <w:b w:val="0"/>
          <w:sz w:val="18"/>
        </w:rPr>
        <w:t>National distribution (2025 Q3, n=119 trusts, lower rates are better): Mean 23.3%, P10 19.1%, P25 20.9%, Median 23.3%, P75 25.6%, P90 27.6%.</w:t>
      </w:r>
    </w:p>
    <w:p>
      <w:pPr>
        <w:spacing w:before="0" w:after="80"/>
        <w:jc w:val="left"/>
      </w:pPr>
      <w:r>
        <w:rPr>
          <w:rFonts w:ascii="Arial" w:hAnsi="Arial"/>
          <w:b w:val="0"/>
          <w:sz w:val="18"/>
        </w:rPr>
        <w:t>8-quarter trend (across all 120 trusts): 14 improving, 56 stable, 50 worsening, 0 insufficient data.</w:t>
      </w:r>
    </w:p>
    <w:p>
      <w:pPr>
        <w:spacing w:before="0" w:after="60"/>
        <w:jc w:val="left"/>
      </w:pPr>
      <w:r>
        <w:rPr>
          <w:rFonts w:ascii="Arial" w:hAnsi="Arial"/>
          <w:b w:val="0"/>
          <w:sz w:val="18"/>
        </w:rPr>
        <w:t>Best performing trusts (lowest rates (best)): R-Trust-33227 (14.6%), R-Trust-64729 (16.1%), R-Trust-50170 (16.4%), R-Trust-55377 (17.1%), R-Trust-16272 (17.2%).</w:t>
      </w:r>
    </w:p>
    <w:p>
      <w:pPr>
        <w:spacing w:before="0" w:after="120"/>
        <w:jc w:val="left"/>
      </w:pPr>
      <w:r>
        <w:rPr>
          <w:rFonts w:ascii="Arial" w:hAnsi="Arial"/>
          <w:b w:val="0"/>
          <w:sz w:val="18"/>
        </w:rPr>
        <w:t>Highest concern trusts (highest rates (most concern)): R-Trust-64912 (36.7%), R-Trust-78083 (32.1%), R-Trust-66323 (30.1%), R-Trust-93948 (30.0%), R-Trust-16805 (29.6%).</w:t>
      </w:r>
    </w:p>
    <w:p>
      <w:pPr>
        <w:pStyle w:val="Heading3"/>
        <w:jc w:val="left"/>
      </w:pPr>
      <w:r>
        <w:rPr>
          <w:rFonts w:ascii="Arial" w:hAnsi="Arial"/>
          <w:b/>
          <w:color w:val="2E4057"/>
          <w:sz w:val="24"/>
        </w:rPr>
        <w:t>Post-partum Haemorrhage (PPH)</w:t>
      </w:r>
    </w:p>
    <w:p>
      <w:pPr>
        <w:spacing w:before="0" w:after="80"/>
        <w:jc w:val="left"/>
      </w:pPr>
      <w:r>
        <w:rPr>
          <w:rFonts w:ascii="Arial" w:hAnsi="Arial"/>
          <w:b w:val="0"/>
          <w:sz w:val="18"/>
        </w:rPr>
        <w:t>National distribution (2025 Q3, n=119 trusts, lower rates are better): Mean 30.5%, P10 12.8%, P25 24.8%, Median 33.0%, P75 37.8%, P90 43.9%.</w:t>
      </w:r>
    </w:p>
    <w:p>
      <w:pPr>
        <w:spacing w:before="0" w:after="80"/>
        <w:jc w:val="left"/>
      </w:pPr>
      <w:r>
        <w:rPr>
          <w:rFonts w:ascii="Arial" w:hAnsi="Arial"/>
          <w:b w:val="0"/>
          <w:sz w:val="18"/>
        </w:rPr>
        <w:t>8-quarter trend (across all 120 trusts): 41 improving, 20 stable, 59 worsening, 0 insufficient data.</w:t>
      </w:r>
    </w:p>
    <w:p>
      <w:pPr>
        <w:spacing w:before="0" w:after="60"/>
        <w:jc w:val="left"/>
      </w:pPr>
      <w:r>
        <w:rPr>
          <w:rFonts w:ascii="Arial" w:hAnsi="Arial"/>
          <w:b w:val="0"/>
          <w:sz w:val="18"/>
        </w:rPr>
        <w:t>Best performing trusts (lowest rates (best)): R-Trust-10685 (0.0%), R-Trust-16466 (0.0%), R-Trust-29383 (0.0%), R-Trust-32123 (0.0%), R-Trust-60663 (0.0%).</w:t>
      </w:r>
    </w:p>
    <w:p>
      <w:pPr>
        <w:spacing w:before="0" w:after="120"/>
        <w:jc w:val="left"/>
      </w:pPr>
      <w:r>
        <w:rPr>
          <w:rFonts w:ascii="Arial" w:hAnsi="Arial"/>
          <w:b w:val="0"/>
          <w:sz w:val="18"/>
        </w:rPr>
        <w:t>Highest concern trusts (highest rates (most concern)): R-Trust-1250 (52.7%), R-Trust-7295 (52.3%), R-Trust-36307 (51.0%), R-Trust-77684 (50.7%), R-Trust-16805 (49.3%).</w:t>
      </w:r>
    </w:p>
    <w:p>
      <w:pPr>
        <w:pStyle w:val="Heading3"/>
        <w:jc w:val="left"/>
      </w:pPr>
      <w:r>
        <w:rPr>
          <w:rFonts w:ascii="Arial" w:hAnsi="Arial"/>
          <w:b/>
          <w:color w:val="2E4057"/>
          <w:sz w:val="24"/>
        </w:rPr>
        <w:t>SBL2/FGR Detection (SBL2)</w:t>
      </w:r>
    </w:p>
    <w:p>
      <w:pPr>
        <w:spacing w:before="0" w:after="80"/>
        <w:jc w:val="left"/>
      </w:pPr>
      <w:r>
        <w:rPr>
          <w:rFonts w:ascii="Arial" w:hAnsi="Arial"/>
          <w:b w:val="0"/>
          <w:sz w:val="18"/>
        </w:rPr>
        <w:t>National distribution (2025 Q3, n=119 trusts, higher rates are better): Mean 65.1%, P10 44.4%, P25 50.0%, Median 61.1%, P75 83.3%, P90 100.0%.</w:t>
      </w:r>
    </w:p>
    <w:p>
      <w:pPr>
        <w:spacing w:before="0" w:after="80"/>
        <w:jc w:val="left"/>
      </w:pPr>
      <w:r>
        <w:rPr>
          <w:rFonts w:ascii="Arial" w:hAnsi="Arial"/>
          <w:b w:val="0"/>
          <w:sz w:val="18"/>
        </w:rPr>
        <w:t>8-quarter trend (across all 120 trusts): 64 improving, 4 stable, 52 worsening, 0 insufficient data.</w:t>
      </w:r>
    </w:p>
    <w:p>
      <w:pPr>
        <w:spacing w:before="0" w:after="60"/>
        <w:jc w:val="left"/>
      </w:pPr>
      <w:r>
        <w:rPr>
          <w:rFonts w:ascii="Arial" w:hAnsi="Arial"/>
          <w:b w:val="0"/>
          <w:sz w:val="18"/>
        </w:rPr>
        <w:t>Best performing trusts (highest compliance): R-Trust-10609 (33.3%), R-Trust-3887 (33.3%), R-Trust-34984 (36.1%), R-Trust-10538 (37.8%), R-Trust-16805 (38.7%).</w:t>
      </w:r>
    </w:p>
    <w:p>
      <w:pPr>
        <w:spacing w:before="0" w:after="120"/>
        <w:jc w:val="left"/>
      </w:pPr>
      <w:r>
        <w:rPr>
          <w:rFonts w:ascii="Arial" w:hAnsi="Arial"/>
          <w:b w:val="0"/>
          <w:sz w:val="18"/>
        </w:rPr>
        <w:t>Highest concern trusts (lowest compliance): R-Trust-98284 (100.0%), R-Trust-934 (100.0%), R-Trust-89739 (100.0%), R-Trust-84902 (100.0%), R-Trust-7562 (100.0%).</w:t>
      </w:r>
    </w:p>
    <w:p>
      <w:pPr>
        <w:pStyle w:val="Heading3"/>
        <w:jc w:val="left"/>
      </w:pPr>
      <w:r>
        <w:rPr>
          <w:rFonts w:ascii="Arial" w:hAnsi="Arial"/>
          <w:b/>
          <w:color w:val="2E4057"/>
          <w:sz w:val="24"/>
        </w:rPr>
        <w:t>Third/Fourth-Degree Tears (OASI) (Tears)</w:t>
      </w:r>
    </w:p>
    <w:p>
      <w:pPr>
        <w:spacing w:before="0" w:after="80"/>
        <w:jc w:val="left"/>
      </w:pPr>
      <w:r>
        <w:rPr>
          <w:rFonts w:ascii="Arial" w:hAnsi="Arial"/>
          <w:b w:val="0"/>
          <w:sz w:val="18"/>
        </w:rPr>
        <w:t>National distribution (2025 Q3, n=119 trusts, lower rates are better): Mean 22.1%, P10 0.0%, P25 14.2%, Median 24.3%, P75 32.0%, P90 39.0%.</w:t>
      </w:r>
    </w:p>
    <w:p>
      <w:pPr>
        <w:spacing w:before="0" w:after="80"/>
        <w:jc w:val="left"/>
      </w:pPr>
      <w:r>
        <w:rPr>
          <w:rFonts w:ascii="Arial" w:hAnsi="Arial"/>
          <w:b w:val="0"/>
          <w:sz w:val="18"/>
        </w:rPr>
        <w:t>8-quarter trend (across all 120 trusts): 48 improving, 25 stable, 47 worsening, 0 insufficient data.</w:t>
      </w:r>
    </w:p>
    <w:p>
      <w:pPr>
        <w:spacing w:before="0" w:after="60"/>
        <w:jc w:val="left"/>
      </w:pPr>
      <w:r>
        <w:rPr>
          <w:rFonts w:ascii="Arial" w:hAnsi="Arial"/>
          <w:b w:val="0"/>
          <w:sz w:val="18"/>
        </w:rPr>
        <w:t>Best performing trusts (lowest rates (best)): R-Trust-10609 (0.0%), R-Trust-10685 (0.0%), R-Trust-11334 (0.0%), R-Trust-12159 (0.0%), R-Trust-13489 (0.0%).</w:t>
      </w:r>
    </w:p>
    <w:p>
      <w:pPr>
        <w:spacing w:before="0" w:after="120"/>
        <w:jc w:val="left"/>
      </w:pPr>
      <w:r>
        <w:rPr>
          <w:rFonts w:ascii="Arial" w:hAnsi="Arial"/>
          <w:b w:val="0"/>
          <w:sz w:val="18"/>
        </w:rPr>
        <w:t>Highest concern trusts (highest rates (most concern)): R-Trust-95041 (54.0%), R-Trust-83805 (50.0%), R-Trust-21105 (48.7%), R-Trust-95715 (46.0%), R-Trust-95075 (43.7%).</w:t>
      </w:r>
    </w:p>
    <w:p>
      <w:r>
        <w:br w:type="page"/>
      </w:r>
    </w:p>
    <w:p>
      <w:pPr>
        <w:pStyle w:val="Heading1"/>
        <w:jc w:val="left"/>
      </w:pPr>
      <w:r>
        <w:rPr>
          <w:rFonts w:ascii="Arial" w:hAnsi="Arial"/>
          <w:b/>
          <w:color w:val="1F3864"/>
          <w:sz w:val="32"/>
        </w:rPr>
        <w:t>6. Conclusions</w:t>
      </w:r>
    </w:p>
    <w:p>
      <w:pPr>
        <w:spacing w:before="0" w:after="80"/>
        <w:pBdr>
          <w:bottom w:val="single" w:sz="12" w:space="1" w:color="2E75B6"/>
        </w:pBdr>
      </w:pPr>
    </w:p>
    <w:p>
      <w:pPr>
        <w:spacing w:before="120" w:after="80"/>
        <w:jc w:val="left"/>
      </w:pPr>
      <w:r>
        <w:rPr>
          <w:rFonts w:ascii="Arial" w:hAnsi="Arial"/>
          <w:b/>
          <w:sz w:val="22"/>
        </w:rPr>
        <w:t>6.1 Overall Population Picture</w:t>
      </w:r>
    </w:p>
    <w:p>
      <w:pPr>
        <w:spacing w:before="0" w:after="120"/>
        <w:jc w:val="left"/>
      </w:pPr>
      <w:r>
        <w:rPr>
          <w:rFonts w:ascii="Arial" w:hAnsi="Arial"/>
          <w:b w:val="0"/>
          <w:sz w:val="18"/>
        </w:rPr>
        <w:t>The national LSSI4 population analysis reveals a wide distribution of maternity safety performance across the 120 trusts examined. With a national mean score of 3.02, the majority of trusts fall within the Typical Range tier (47 trusts, 39%). However, 18 trusts (15%) are classified as Higher Risk, and a further 18 (15%) are in the Emerging Concern tier — representing a combined 36 trusts (30%) that warrant active monitoring or immediate review.</w:t>
      </w:r>
    </w:p>
    <w:p>
      <w:pPr>
        <w:spacing w:before="0" w:after="80"/>
        <w:jc w:val="left"/>
      </w:pPr>
      <w:r>
        <w:rPr>
          <w:rFonts w:ascii="Arial" w:hAnsi="Arial"/>
          <w:b/>
          <w:sz w:val="22"/>
        </w:rPr>
        <w:t>6.2 Trajectory and Direction of Travel</w:t>
      </w:r>
    </w:p>
    <w:p>
      <w:pPr>
        <w:spacing w:before="0" w:after="120"/>
        <w:jc w:val="left"/>
      </w:pPr>
      <w:r>
        <w:rPr>
          <w:rFonts w:ascii="Arial" w:hAnsi="Arial"/>
          <w:b w:val="0"/>
          <w:sz w:val="18"/>
        </w:rPr>
        <w:t>The eight-quarter trend analysis shows that 10 trusts (8%) are on an improving trajectory, while 10 (8%) are worsening. Of particular concern are trusts in the Higher Risk or Emerging Concern tiers with a worsening LSSI4 direction, as these represent the highest-priority intervention targets. Trusts in those two tiers that are also improving offer a potential pathway indicator of what quality improvement actions may be having effect.</w:t>
      </w:r>
    </w:p>
    <w:p>
      <w:pPr>
        <w:spacing w:before="0" w:after="80"/>
        <w:jc w:val="left"/>
      </w:pPr>
      <w:r>
        <w:rPr>
          <w:rFonts w:ascii="Arial" w:hAnsi="Arial"/>
          <w:b/>
          <w:sz w:val="22"/>
        </w:rPr>
        <w:t>6.3 Indicator-Level Observations</w:t>
      </w:r>
    </w:p>
    <w:p>
      <w:pPr>
        <w:spacing w:before="0" w:after="60"/>
        <w:ind w:left="360"/>
      </w:pPr>
      <w:r>
        <w:rPr>
          <w:rFonts w:ascii="Arial" w:hAnsi="Arial"/>
          <w:b/>
          <w:sz w:val="18"/>
        </w:rPr>
        <w:t xml:space="preserve">EC (Emergency Caesarean): </w:t>
      </w:r>
      <w:r>
        <w:rPr>
          <w:rFonts w:ascii="Arial" w:hAnsi="Arial"/>
          <w:sz w:val="18"/>
        </w:rPr>
        <w:t>National mean 23.3% (median 23.3%). 24 trusts in Q5 (most concern), 23 in Q1 (strongest position).</w:t>
      </w:r>
    </w:p>
    <w:p>
      <w:pPr>
        <w:spacing w:before="0" w:after="60"/>
        <w:ind w:left="360"/>
      </w:pPr>
      <w:r>
        <w:rPr>
          <w:rFonts w:ascii="Arial" w:hAnsi="Arial"/>
          <w:b/>
          <w:sz w:val="18"/>
        </w:rPr>
        <w:t xml:space="preserve">PPH (Post-partum Haemorrhage): </w:t>
      </w:r>
      <w:r>
        <w:rPr>
          <w:rFonts w:ascii="Arial" w:hAnsi="Arial"/>
          <w:sz w:val="18"/>
        </w:rPr>
        <w:t>National mean 30.5% (median 33.0%). 24 trusts in Q5 (most concern), 23 in Q1 (strongest position).</w:t>
      </w:r>
    </w:p>
    <w:p>
      <w:pPr>
        <w:spacing w:before="0" w:after="60"/>
        <w:ind w:left="360"/>
      </w:pPr>
      <w:r>
        <w:rPr>
          <w:rFonts w:ascii="Arial" w:hAnsi="Arial"/>
          <w:b/>
          <w:sz w:val="18"/>
        </w:rPr>
        <w:t xml:space="preserve">SBL2 (SBL2/FGR Detection): </w:t>
      </w:r>
      <w:r>
        <w:rPr>
          <w:rFonts w:ascii="Arial" w:hAnsi="Arial"/>
          <w:sz w:val="18"/>
        </w:rPr>
        <w:t>National mean 65.1% (median 61.1%). 24 trusts in Q5 (most concern), 23 in Q1 (strongest position).</w:t>
      </w:r>
    </w:p>
    <w:p>
      <w:pPr>
        <w:spacing w:before="0" w:after="60"/>
        <w:ind w:left="360"/>
      </w:pPr>
      <w:r>
        <w:rPr>
          <w:rFonts w:ascii="Arial" w:hAnsi="Arial"/>
          <w:b/>
          <w:sz w:val="18"/>
        </w:rPr>
        <w:t xml:space="preserve">Tears (Third/Fourth-Degree Tears (OASI)): </w:t>
      </w:r>
      <w:r>
        <w:rPr>
          <w:rFonts w:ascii="Arial" w:hAnsi="Arial"/>
          <w:sz w:val="18"/>
        </w:rPr>
        <w:t>National mean 22.1% (median 24.3%). 24 trusts in Q5 (most concern), 23 in Q1 (strongest position).</w:t>
      </w:r>
    </w:p>
    <w:p>
      <w:pPr>
        <w:spacing w:before="120" w:after="80"/>
        <w:jc w:val="left"/>
      </w:pPr>
      <w:r>
        <w:rPr>
          <w:rFonts w:ascii="Arial" w:hAnsi="Arial"/>
          <w:b/>
          <w:sz w:val="22"/>
        </w:rPr>
        <w:t>6.4 Recommended Actions</w:t>
      </w:r>
    </w:p>
    <w:p>
      <w:pPr>
        <w:spacing w:before="0" w:after="80"/>
        <w:ind w:left="360"/>
      </w:pPr>
      <w:r>
        <w:rPr>
          <w:rFonts w:ascii="Arial" w:hAnsi="Arial"/>
          <w:b/>
          <w:sz w:val="18"/>
        </w:rPr>
        <w:t xml:space="preserve">Higher Risk trusts: </w:t>
      </w:r>
      <w:r>
        <w:rPr>
          <w:rFonts w:ascii="Arial" w:hAnsi="Arial"/>
          <w:sz w:val="18"/>
        </w:rPr>
        <w:t>The 18 Higher Risk trusts should be the subject of immediate clinical leadership review and targeted quality improvement planning. Where LSSI4 trajectory is also worsening, external support or peer review should be actively considered.</w:t>
      </w:r>
    </w:p>
    <w:p>
      <w:pPr>
        <w:spacing w:before="0" w:after="80"/>
        <w:ind w:left="360"/>
      </w:pPr>
      <w:r>
        <w:rPr>
          <w:rFonts w:ascii="Arial" w:hAnsi="Arial"/>
          <w:b/>
          <w:sz w:val="18"/>
        </w:rPr>
        <w:t xml:space="preserve">Emerging Concern trusts: </w:t>
      </w:r>
      <w:r>
        <w:rPr>
          <w:rFonts w:ascii="Arial" w:hAnsi="Arial"/>
          <w:sz w:val="18"/>
        </w:rPr>
        <w:t>The 18 Emerging Concern trusts should proactively self-assess using indicator-level trend data. Trusts approaching the 4.0 threshold from below are at elevated risk of reclassification in the next reporting period.</w:t>
      </w:r>
    </w:p>
    <w:p>
      <w:pPr>
        <w:spacing w:before="0" w:after="80"/>
        <w:ind w:left="360"/>
      </w:pPr>
      <w:r>
        <w:rPr>
          <w:rFonts w:ascii="Arial" w:hAnsi="Arial"/>
          <w:b/>
          <w:sz w:val="18"/>
        </w:rPr>
        <w:t xml:space="preserve">Stronger Position trusts: </w:t>
      </w:r>
      <w:r>
        <w:rPr>
          <w:rFonts w:ascii="Arial" w:hAnsi="Arial"/>
          <w:sz w:val="18"/>
        </w:rPr>
        <w:t>The 37 Stronger Position trusts should be identified as potential sources of peer learning and best practice dissemination. Their specific pathway and protocol approaches in strong-performing indicators should be captured and shared nationally.</w:t>
      </w:r>
    </w:p>
    <w:p>
      <w:pPr>
        <w:spacing w:before="0" w:after="80"/>
        <w:ind w:left="360"/>
      </w:pPr>
      <w:r>
        <w:rPr>
          <w:rFonts w:ascii="Arial" w:hAnsi="Arial"/>
          <w:b/>
          <w:sz w:val="18"/>
        </w:rPr>
        <w:t xml:space="preserve">National monitoring: </w:t>
      </w:r>
      <w:r>
        <w:rPr>
          <w:rFonts w:ascii="Arial" w:hAnsi="Arial"/>
          <w:sz w:val="18"/>
        </w:rPr>
        <w:t>This population-level dataset should be updated quarterly and reviewed by regional maternity safety leads alongside the individual trust briefings. Trend trajectories should be monitored for early-warning signals of deterioration.</w:t>
      </w:r>
    </w:p>
    <w:p>
      <w:pPr>
        <w:spacing w:before="80" w:after="80"/>
        <w:jc w:val="left"/>
      </w:pPr>
      <w:r>
        <w:rPr>
          <w:rFonts w:ascii="Arial" w:hAnsi="Arial"/>
          <w:b/>
          <w:sz w:val="22"/>
        </w:rPr>
        <w:t>6.5 Caveats and Limitations</w:t>
      </w:r>
    </w:p>
    <w:p>
      <w:pPr>
        <w:spacing w:before="0" w:after="120"/>
        <w:jc w:val="left"/>
      </w:pPr>
      <w:r>
        <w:rPr>
          <w:rFonts w:ascii="Arial" w:hAnsi="Arial"/>
          <w:b w:val="0"/>
          <w:sz w:val="18"/>
        </w:rPr>
        <w:t>Quintile rankings are relative: all trusts scoring in Q1 means the national distribution has shifted, not that performance has improved absolutely. Rate data should be interpreted alongside case-mix, coding practices, and local pathway factors. Zero or near-zero rates for SBL2 in early quarters may reflect pathway implementation timing rather than genuine compliance. This report uses anonymised trust identifiers throughout.</w:t>
      </w:r>
    </w:p>
    <w:p>
      <w:pPr>
        <w:spacing w:before="0" w:after="80"/>
        <w:pBdr>
          <w:bottom w:val="single" w:sz="12" w:space="1" w:color="AAAAAA"/>
        </w:pBdr>
      </w:pPr>
    </w:p>
    <w:p>
      <w:pPr>
        <w:spacing w:before="80" w:after="0"/>
        <w:jc w:val="center"/>
      </w:pPr>
      <w:r>
        <w:rPr>
          <w:rFonts w:ascii="Arial" w:hAnsi="Arial"/>
          <w:b w:val="0"/>
          <w:color w:val="888888"/>
          <w:sz w:val="16"/>
        </w:rPr>
        <w:t>LSSI4 National Population Briefing — July 2026  |  Based on 120 trusts, 8 quarters (2023 Q4 – 2025 Q3)  |  CONFIDENTIAL</w:t>
      </w:r>
    </w:p>
    <w:sectPr w:rsidR="00FC693F" w:rsidRPr="0006063C" w:rsidSect="00034616">
      <w:pgSz w:w="17626" w:h="22810"/>
      <w:pgMar w:top="1555" w:right="1555" w:bottom="1555" w:left="155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